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2026-2027年总中心华为通信传输系统维护服务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年11月</w:t>
      </w:r>
    </w:p>
    <w:p>
      <w:pPr>
        <w:pStyle w:val="28"/>
        <w:jc w:val="center"/>
        <w:rPr>
          <w:rFonts w:ascii="宋体" w:hAnsi="宋体" w:cs="宋体"/>
          <w:color w:val="auto"/>
          <w:szCs w:val="21"/>
          <w:highlight w:val="none"/>
        </w:rPr>
      </w:pPr>
      <w:r>
        <w:rPr>
          <w:color w:val="auto"/>
          <w:highlight w:val="none"/>
        </w:rPr>
        <w:br w:type="page"/>
      </w:r>
      <w:bookmarkStart w:id="1" w:name="_Toc507319889"/>
      <w:bookmarkStart w:id="2" w:name="_Toc507428442"/>
      <w:bookmarkStart w:id="3" w:name="_Toc246996898"/>
      <w:bookmarkStart w:id="4" w:name="_Toc247085669"/>
      <w:bookmarkStart w:id="5" w:name="_Toc296602400"/>
      <w:r>
        <w:rPr>
          <w:rFonts w:hint="eastAsia" w:ascii="宋体" w:hAnsi="宋体" w:cs="宋体"/>
          <w:b w:val="0"/>
          <w:color w:val="auto"/>
          <w:sz w:val="32"/>
          <w:highlight w:val="none"/>
        </w:rPr>
        <w:t>目   录</w:t>
      </w:r>
      <w:bookmarkEnd w:id="1"/>
      <w:bookmarkEnd w:id="2"/>
      <w:bookmarkEnd w:id="3"/>
      <w:bookmarkEnd w:id="4"/>
      <w:bookmarkEnd w:id="5"/>
    </w:p>
    <w:p>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_Toc29643 </w:instrText>
      </w:r>
      <w:r>
        <w:rPr>
          <w:rFonts w:hint="eastAsia" w:ascii="宋体" w:hAnsi="宋体" w:cs="宋体"/>
          <w:bCs w:val="0"/>
          <w:caps w:val="0"/>
          <w:color w:val="auto"/>
          <w:highlight w:val="none"/>
        </w:rPr>
        <w:fldChar w:fldCharType="separate"/>
      </w:r>
      <w:r>
        <w:rPr>
          <w:rFonts w:hint="eastAsia" w:ascii="宋体" w:hAnsi="宋体" w:eastAsia="宋体" w:cs="宋体"/>
          <w:bCs/>
          <w:smallCaps w:val="0"/>
          <w:color w:val="auto"/>
          <w:kern w:val="44"/>
          <w:szCs w:val="44"/>
          <w:highlight w:val="none"/>
          <w:lang w:val="en-US" w:eastAsia="zh-CN" w:bidi="ar-SA"/>
        </w:rPr>
        <w:t>第一章 比选公告</w:t>
      </w:r>
      <w:r>
        <w:rPr>
          <w:color w:val="auto"/>
          <w:highlight w:val="none"/>
        </w:rPr>
        <w:tab/>
      </w:r>
      <w:r>
        <w:rPr>
          <w:color w:val="auto"/>
          <w:highlight w:val="none"/>
        </w:rPr>
        <w:fldChar w:fldCharType="begin"/>
      </w:r>
      <w:r>
        <w:rPr>
          <w:color w:val="auto"/>
          <w:highlight w:val="none"/>
        </w:rPr>
        <w:instrText xml:space="preserve"> PAGEREF _Toc29643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_Toc27743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_Toc27743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_Toc1258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_Toc1258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_Toc5542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_Toc5542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_Toc28877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_Toc28877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_Toc8694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_Toc8694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_Toc18060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_Toc18060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_Toc28867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r>
        <w:rPr>
          <w:color w:val="auto"/>
          <w:highlight w:val="none"/>
        </w:rPr>
        <w:tab/>
      </w:r>
      <w:r>
        <w:rPr>
          <w:color w:val="auto"/>
          <w:highlight w:val="none"/>
        </w:rPr>
        <w:fldChar w:fldCharType="begin"/>
      </w:r>
      <w:r>
        <w:rPr>
          <w:color w:val="auto"/>
          <w:highlight w:val="none"/>
        </w:rPr>
        <w:instrText xml:space="preserve"> PAGEREF _Toc28867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_Toc10659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_Toc10659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_Toc6693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_Toc6693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_Toc29226 </w:instrText>
      </w:r>
      <w:r>
        <w:rPr>
          <w:rFonts w:hint="eastAsia" w:ascii="宋体" w:hAnsi="宋体" w:cs="宋体"/>
          <w:bCs/>
          <w:caps/>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_Toc29226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_Toc15534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_Toc15534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_Toc14299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_Toc14299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_Toc32470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lang w:val="en-US" w:eastAsia="zh-CN"/>
        </w:rPr>
        <w:t>3. 评标程序</w:t>
      </w:r>
      <w:r>
        <w:rPr>
          <w:color w:val="auto"/>
          <w:highlight w:val="none"/>
        </w:rPr>
        <w:tab/>
      </w:r>
      <w:r>
        <w:rPr>
          <w:color w:val="auto"/>
          <w:highlight w:val="none"/>
        </w:rPr>
        <w:fldChar w:fldCharType="begin"/>
      </w:r>
      <w:r>
        <w:rPr>
          <w:color w:val="auto"/>
          <w:highlight w:val="none"/>
        </w:rPr>
        <w:instrText xml:space="preserve"> PAGEREF _Toc32470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_Toc26193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color w:val="auto"/>
          <w:highlight w:val="none"/>
        </w:rPr>
        <w:tab/>
      </w:r>
      <w:r>
        <w:rPr>
          <w:color w:val="auto"/>
          <w:highlight w:val="none"/>
        </w:rPr>
        <w:fldChar w:fldCharType="begin"/>
      </w:r>
      <w:r>
        <w:rPr>
          <w:color w:val="auto"/>
          <w:highlight w:val="none"/>
        </w:rPr>
        <w:instrText xml:space="preserve"> PAGEREF _Toc26193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_Toc2248 </w:instrText>
      </w:r>
      <w:r>
        <w:rPr>
          <w:rFonts w:hint="eastAsia" w:ascii="宋体" w:hAnsi="宋体" w:cs="宋体"/>
          <w:bCs/>
          <w:caps/>
          <w:color w:val="auto"/>
          <w:highlight w:val="none"/>
        </w:rPr>
        <w:fldChar w:fldCharType="separate"/>
      </w:r>
      <w:r>
        <w:rPr>
          <w:rFonts w:hint="eastAsia" w:ascii="宋体" w:hAnsi="宋体" w:eastAsia="宋体" w:cs="宋体"/>
          <w:bCs/>
          <w:color w:val="auto"/>
          <w:kern w:val="44"/>
          <w:szCs w:val="44"/>
          <w:highlight w:val="none"/>
          <w:lang w:val="en-US" w:eastAsia="zh-CN" w:bidi="ar-SA"/>
        </w:rPr>
        <w:t>第五章  合同范本</w:t>
      </w:r>
      <w:r>
        <w:rPr>
          <w:color w:val="auto"/>
          <w:highlight w:val="none"/>
        </w:rPr>
        <w:tab/>
      </w:r>
      <w:r>
        <w:rPr>
          <w:color w:val="auto"/>
          <w:highlight w:val="none"/>
        </w:rPr>
        <w:fldChar w:fldCharType="begin"/>
      </w:r>
      <w:r>
        <w:rPr>
          <w:color w:val="auto"/>
          <w:highlight w:val="none"/>
        </w:rPr>
        <w:instrText xml:space="preserve"> PAGEREF _Toc2248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_Toc11294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r>
        <w:rPr>
          <w:color w:val="auto"/>
          <w:highlight w:val="none"/>
        </w:rPr>
        <w:tab/>
      </w:r>
      <w:r>
        <w:rPr>
          <w:color w:val="auto"/>
          <w:highlight w:val="none"/>
        </w:rPr>
        <w:fldChar w:fldCharType="begin"/>
      </w:r>
      <w:r>
        <w:rPr>
          <w:color w:val="auto"/>
          <w:highlight w:val="none"/>
        </w:rPr>
        <w:instrText xml:space="preserve"> PAGEREF _Toc11294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_Toc8599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一、 竞争比选响应声明书</w:t>
      </w:r>
      <w:r>
        <w:rPr>
          <w:color w:val="auto"/>
          <w:highlight w:val="none"/>
        </w:rPr>
        <w:tab/>
      </w:r>
      <w:r>
        <w:rPr>
          <w:color w:val="auto"/>
          <w:highlight w:val="none"/>
        </w:rPr>
        <w:fldChar w:fldCharType="begin"/>
      </w:r>
      <w:r>
        <w:rPr>
          <w:color w:val="auto"/>
          <w:highlight w:val="none"/>
        </w:rPr>
        <w:instrText xml:space="preserve"> PAGEREF _Toc8599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_Toc25515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_Toc25515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_Toc13095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_Toc13095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_Toc19454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_Toc19454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_Toc21066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_Toc21066 \h </w:instrText>
      </w:r>
      <w:r>
        <w:rPr>
          <w:color w:val="auto"/>
          <w:highlight w:val="none"/>
        </w:rPr>
        <w:fldChar w:fldCharType="separate"/>
      </w:r>
      <w:r>
        <w:rPr>
          <w:color w:val="auto"/>
          <w:highlight w:val="none"/>
        </w:rPr>
        <w:t>32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_Toc22750 </w:instrText>
      </w:r>
      <w:r>
        <w:rPr>
          <w:rFonts w:hint="eastAsia" w:ascii="宋体" w:hAnsi="宋体" w:cs="宋体"/>
          <w:bCs/>
          <w:caps/>
          <w:color w:val="auto"/>
          <w:highlight w:val="none"/>
        </w:rPr>
        <w:fldChar w:fldCharType="separate"/>
      </w:r>
      <w:r>
        <w:rPr>
          <w:rFonts w:hint="eastAsia" w:ascii="宋体" w:hAnsi="宋体" w:eastAsia="宋体" w:cs="宋体"/>
          <w:bCs/>
          <w:color w:val="auto"/>
          <w:kern w:val="0"/>
          <w:szCs w:val="32"/>
          <w:highlight w:val="none"/>
          <w:lang w:val="en-US" w:eastAsia="zh-CN" w:bidi="ar-SA"/>
        </w:rPr>
        <w:t>六、报价人其他资料</w:t>
      </w:r>
      <w:r>
        <w:rPr>
          <w:color w:val="auto"/>
          <w:highlight w:val="none"/>
        </w:rPr>
        <w:tab/>
      </w:r>
      <w:r>
        <w:rPr>
          <w:color w:val="auto"/>
          <w:highlight w:val="none"/>
        </w:rPr>
        <w:fldChar w:fldCharType="begin"/>
      </w:r>
      <w:r>
        <w:rPr>
          <w:color w:val="auto"/>
          <w:highlight w:val="none"/>
        </w:rPr>
        <w:instrText xml:space="preserve"> PAGEREF _Toc22750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6" w:name="_Toc246996157"/>
      <w:bookmarkStart w:id="7" w:name="_Toc152045511"/>
      <w:bookmarkStart w:id="8" w:name="_Toc144974479"/>
      <w:bookmarkStart w:id="9" w:name="_Toc179632527"/>
      <w:bookmarkStart w:id="10" w:name="_Toc247096243"/>
      <w:bookmarkStart w:id="11" w:name="_Toc152042287"/>
      <w:bookmarkStart w:id="12" w:name="_Toc507319890"/>
      <w:bookmarkStart w:id="13" w:name="_Toc246996900"/>
      <w:bookmarkStart w:id="14" w:name="_Toc2000404"/>
      <w:bookmarkStart w:id="15" w:name="_Toc247085671"/>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16" w:name="_Toc29643"/>
      <w:r>
        <w:rPr>
          <w:rFonts w:hint="eastAsia" w:ascii="宋体" w:hAnsi="宋体" w:eastAsia="宋体" w:cs="宋体"/>
          <w:b/>
          <w:bCs/>
          <w:smallCaps w:val="0"/>
          <w:color w:val="auto"/>
          <w:kern w:val="44"/>
          <w:sz w:val="44"/>
          <w:szCs w:val="44"/>
          <w:highlight w:val="none"/>
          <w:lang w:val="en-US" w:eastAsia="zh-CN" w:bidi="ar-SA"/>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eastAsia="宋体" w:cs="宋体"/>
          <w:b/>
          <w:bCs/>
          <w:smallCaps w:val="0"/>
          <w:color w:val="auto"/>
          <w:kern w:val="44"/>
          <w:sz w:val="44"/>
          <w:szCs w:val="44"/>
          <w:highlight w:val="none"/>
          <w:lang w:val="en-US" w:eastAsia="zh-CN" w:bidi="ar-SA"/>
        </w:rPr>
        <w:t>比选公告</w:t>
      </w:r>
      <w:bookmarkEnd w:id="16"/>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17" w:name="_Toc152042288"/>
      <w:bookmarkStart w:id="18" w:name="_Toc11329213"/>
      <w:bookmarkStart w:id="19" w:name="_Toc24874"/>
      <w:bookmarkStart w:id="20" w:name="_Toc10076"/>
      <w:bookmarkStart w:id="21" w:name="_Toc247085672"/>
      <w:bookmarkStart w:id="22" w:name="_Toc246996158"/>
      <w:bookmarkStart w:id="23" w:name="_Toc27743"/>
      <w:bookmarkStart w:id="24" w:name="_Toc179632528"/>
      <w:bookmarkStart w:id="25" w:name="_Toc507319891"/>
      <w:bookmarkStart w:id="26" w:name="_Toc246996901"/>
      <w:bookmarkStart w:id="27" w:name="_Toc152045512"/>
      <w:bookmarkStart w:id="28" w:name="_Toc6549"/>
      <w:bookmarkStart w:id="29" w:name="_Toc144974480"/>
      <w:r>
        <w:rPr>
          <w:rFonts w:hint="eastAsia" w:ascii="宋体" w:hAnsi="宋体" w:eastAsia="宋体" w:cs="宋体"/>
          <w:color w:val="auto"/>
          <w:highlight w:val="none"/>
        </w:rPr>
        <w:t>1. 比选条件</w:t>
      </w:r>
      <w:bookmarkEnd w:id="17"/>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30" w:name="单据名称1"/>
      <w:r>
        <w:rPr>
          <w:rFonts w:hint="eastAsia" w:ascii="宋体" w:hAnsi="宋体" w:cs="宋体"/>
          <w:color w:val="auto"/>
          <w:szCs w:val="21"/>
          <w:highlight w:val="none"/>
          <w:u w:val="single"/>
          <w:lang w:val="en-US" w:eastAsia="zh-CN"/>
        </w:rPr>
        <w:t>2026-2027年总中心华为通信传输系统维护服务</w:t>
      </w:r>
      <w:bookmarkEnd w:id="30"/>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31" w:name="_Toc246996159"/>
      <w:bookmarkStart w:id="32" w:name="_Toc21343"/>
      <w:bookmarkStart w:id="33" w:name="_Toc507319892"/>
      <w:bookmarkStart w:id="34" w:name="_Toc10952"/>
      <w:bookmarkStart w:id="35" w:name="_Toc152045513"/>
      <w:bookmarkStart w:id="36" w:name="_Toc1258"/>
      <w:bookmarkStart w:id="37" w:name="_Toc144974481"/>
      <w:bookmarkStart w:id="38" w:name="_Toc18109"/>
      <w:bookmarkStart w:id="39" w:name="_Toc11329214"/>
      <w:bookmarkStart w:id="40" w:name="_Toc246996902"/>
      <w:bookmarkStart w:id="41" w:name="_Toc152042289"/>
      <w:bookmarkStart w:id="42" w:name="_Toc179632529"/>
      <w:bookmarkStart w:id="43" w:name="_Toc247085673"/>
      <w:r>
        <w:rPr>
          <w:rFonts w:hint="eastAsia" w:ascii="宋体" w:hAnsi="宋体" w:eastAsia="宋体" w:cs="宋体"/>
          <w:color w:val="auto"/>
          <w:highlight w:val="none"/>
        </w:rPr>
        <w:t>2. 项目概况与比选范围</w:t>
      </w:r>
      <w:bookmarkEnd w:id="31"/>
      <w:bookmarkEnd w:id="32"/>
      <w:bookmarkEnd w:id="33"/>
      <w:bookmarkEnd w:id="34"/>
      <w:bookmarkEnd w:id="35"/>
      <w:bookmarkEnd w:id="36"/>
      <w:bookmarkEnd w:id="37"/>
      <w:bookmarkEnd w:id="38"/>
      <w:bookmarkEnd w:id="39"/>
      <w:bookmarkEnd w:id="40"/>
      <w:bookmarkEnd w:id="41"/>
      <w:bookmarkEnd w:id="42"/>
      <w:bookmarkEnd w:id="43"/>
    </w:p>
    <w:p>
      <w:pPr>
        <w:spacing w:line="420" w:lineRule="exact"/>
        <w:ind w:firstLine="420" w:firstLineChars="200"/>
        <w:rPr>
          <w:rFonts w:hint="default" w:ascii="宋体" w:hAnsi="宋体" w:cs="宋体"/>
          <w:color w:val="auto"/>
          <w:highlight w:val="none"/>
          <w:lang w:val="en-US" w:eastAsia="zh-CN"/>
        </w:rPr>
      </w:pPr>
      <w:bookmarkStart w:id="44" w:name="_Toc382816230"/>
      <w:bookmarkStart w:id="45"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46" w:name="交货地点"/>
      <w:r>
        <w:rPr>
          <w:rFonts w:hint="eastAsia" w:ascii="宋体" w:hAnsi="宋体" w:cs="宋体"/>
          <w:color w:val="auto"/>
          <w:szCs w:val="21"/>
          <w:highlight w:val="none"/>
          <w:u w:val="single"/>
          <w:lang w:val="en-US" w:eastAsia="zh-CN"/>
        </w:rPr>
        <w:t>重庆市</w:t>
      </w:r>
      <w:bookmarkEnd w:id="46"/>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47" w:name="项目概况"/>
      <w:r>
        <w:rPr>
          <w:rFonts w:hint="eastAsia" w:ascii="宋体" w:hAnsi="宋体" w:cs="宋体"/>
          <w:color w:val="auto"/>
          <w:szCs w:val="21"/>
          <w:highlight w:val="none"/>
          <w:u w:val="single"/>
          <w:lang w:val="en-US" w:eastAsia="zh-CN"/>
        </w:rPr>
        <w:t>2026年2027年总中心华为通信传输系统维护：本次比选范围为总中心华为通信传输系统维护服务，服务周期为2026年1月1日至2027年12月31日。主要包括交换机、网管、通信设备、时钟同步、传输网管服务器等设备的运维等工作。提供设备日常巡查、日常维护、专项维护、故障维修、应急维修等内容。</w:t>
      </w:r>
      <w:bookmarkEnd w:id="47"/>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48" w:name="预算金额"/>
      <w:r>
        <w:rPr>
          <w:rFonts w:hint="eastAsia" w:ascii="宋体" w:hAnsi="宋体" w:cs="宋体"/>
          <w:color w:val="auto"/>
          <w:szCs w:val="21"/>
          <w:highlight w:val="none"/>
          <w:u w:val="single"/>
          <w:lang w:val="en-US" w:eastAsia="zh-CN"/>
        </w:rPr>
        <w:t>1</w:t>
      </w:r>
      <w:bookmarkEnd w:id="48"/>
      <w:r>
        <w:rPr>
          <w:rFonts w:hint="eastAsia" w:ascii="宋体" w:hAnsi="宋体" w:cs="宋体"/>
          <w:color w:val="auto"/>
          <w:szCs w:val="21"/>
          <w:highlight w:val="none"/>
          <w:u w:val="single"/>
          <w:lang w:val="en-US" w:eastAsia="zh-CN"/>
        </w:rPr>
        <w:t>7.29</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技术服务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44"/>
    <w:bookmarkEnd w:id="45"/>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9" w:name="工期、货期要求"/>
      <w:r>
        <w:rPr>
          <w:rFonts w:hint="eastAsia" w:ascii="宋体" w:hAnsi="宋体" w:eastAsia="宋体" w:cs="宋体"/>
          <w:color w:val="auto"/>
          <w:szCs w:val="21"/>
          <w:highlight w:val="none"/>
          <w:u w:val="single"/>
        </w:rPr>
        <w:t>服务期为两年，2026年1月1日至2027年12月31日。</w:t>
      </w:r>
      <w:bookmarkEnd w:id="49"/>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50" w:name="_Toc7065"/>
      <w:bookmarkStart w:id="51" w:name="_Toc179632530"/>
      <w:bookmarkStart w:id="52" w:name="_Toc247085674"/>
      <w:bookmarkStart w:id="53" w:name="_Toc152045514"/>
      <w:bookmarkStart w:id="54" w:name="_Toc152042290"/>
      <w:bookmarkStart w:id="55" w:name="_Toc10171"/>
      <w:bookmarkStart w:id="56" w:name="_Toc246996903"/>
      <w:bookmarkStart w:id="57" w:name="_Toc11329215"/>
      <w:bookmarkStart w:id="58" w:name="_Toc144974482"/>
      <w:bookmarkStart w:id="59" w:name="_Toc30356"/>
      <w:bookmarkStart w:id="60" w:name="_Toc246996160"/>
      <w:bookmarkStart w:id="61" w:name="_Toc507319893"/>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w:t>
      </w:r>
      <w:bookmarkStart w:id="62" w:name="标段划分"/>
      <w:r>
        <w:rPr>
          <w:rFonts w:hint="eastAsia" w:ascii="宋体" w:hAnsi="宋体" w:cs="宋体"/>
          <w:b w:val="0"/>
          <w:bCs w:val="0"/>
          <w:color w:val="auto"/>
          <w:kern w:val="2"/>
          <w:sz w:val="21"/>
          <w:szCs w:val="24"/>
          <w:highlight w:val="none"/>
          <w:u w:val="single"/>
          <w:lang w:val="en-US" w:eastAsia="zh-CN" w:bidi="ar-SA"/>
        </w:rPr>
        <w:t>1</w:t>
      </w:r>
      <w:bookmarkEnd w:id="62"/>
      <w:r>
        <w:rPr>
          <w:rFonts w:hint="eastAsia" w:ascii="宋体" w:hAnsi="宋体" w:cs="宋体"/>
          <w:b w:val="0"/>
          <w:bCs w:val="0"/>
          <w:color w:val="auto"/>
          <w:kern w:val="2"/>
          <w:sz w:val="21"/>
          <w:szCs w:val="24"/>
          <w:highlight w:val="none"/>
          <w:u w:val="single"/>
          <w:lang w:val="en-US" w:eastAsia="zh-CN" w:bidi="ar-SA"/>
        </w:rPr>
        <w:t xml:space="preserve"> </w:t>
      </w:r>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63" w:name="_Toc5542"/>
      <w:r>
        <w:rPr>
          <w:rFonts w:hint="eastAsia" w:ascii="宋体" w:hAnsi="宋体" w:eastAsia="宋体" w:cs="宋体"/>
          <w:color w:val="auto"/>
          <w:highlight w:val="none"/>
        </w:rPr>
        <w:t>3. 报价人资格要求</w:t>
      </w:r>
      <w:bookmarkEnd w:id="50"/>
      <w:bookmarkEnd w:id="51"/>
      <w:bookmarkEnd w:id="52"/>
      <w:bookmarkEnd w:id="53"/>
      <w:bookmarkEnd w:id="54"/>
      <w:bookmarkEnd w:id="55"/>
      <w:bookmarkEnd w:id="56"/>
      <w:bookmarkEnd w:id="57"/>
      <w:bookmarkEnd w:id="58"/>
      <w:bookmarkEnd w:id="59"/>
      <w:bookmarkEnd w:id="60"/>
      <w:bookmarkEnd w:id="61"/>
      <w:bookmarkEnd w:id="63"/>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64" w:name="_Toc144974483"/>
      <w:bookmarkStart w:id="65" w:name="_Toc246996904"/>
      <w:bookmarkStart w:id="66" w:name="_Toc246996161"/>
      <w:bookmarkStart w:id="67" w:name="_Toc152042291"/>
      <w:bookmarkStart w:id="68" w:name="_Toc152045515"/>
      <w:bookmarkStart w:id="69" w:name="_Toc179632531"/>
      <w:bookmarkStart w:id="70" w:name="_Toc247085675"/>
      <w:r>
        <w:rPr>
          <w:rFonts w:hint="eastAsia" w:ascii="宋体" w:hAnsi="宋体" w:cs="宋体"/>
          <w:color w:val="auto"/>
          <w:sz w:val="21"/>
          <w:szCs w:val="21"/>
          <w:highlight w:val="none"/>
          <w:lang w:val="en-US" w:eastAsia="zh-CN"/>
        </w:rPr>
        <w:t>3.1 资质要求：</w:t>
      </w:r>
      <w:bookmarkStart w:id="71" w:name="资质要求"/>
      <w:r>
        <w:rPr>
          <w:rFonts w:hint="eastAsia" w:ascii="宋体" w:hAnsi="宋体" w:cs="宋体"/>
          <w:color w:val="auto"/>
          <w:sz w:val="21"/>
          <w:szCs w:val="21"/>
          <w:highlight w:val="none"/>
          <w:lang w:val="en-US" w:eastAsia="zh-CN"/>
        </w:rPr>
        <w:t>（1）报价人具有独立法人资格和有效的营业执照； （2）报价人需提供制造商（华为）针对本项目的授权证书。</w:t>
      </w:r>
      <w:bookmarkEnd w:id="71"/>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72" w:name="业绩要求"/>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2022年1月1日至报价截止日期（以合同签订时间为准）至少完成一项合同金额不低于5万元的通信传输设备维护或销售业绩。</w:t>
      </w:r>
      <w:bookmarkEnd w:id="72"/>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73" w:name="_Toc28877"/>
      <w:bookmarkStart w:id="74" w:name="_Toc11329216"/>
      <w:bookmarkStart w:id="75" w:name="_Toc25619"/>
      <w:bookmarkStart w:id="76" w:name="_Toc507319894"/>
      <w:bookmarkStart w:id="77" w:name="_Toc12460"/>
      <w:bookmarkStart w:id="78" w:name="_Toc14361"/>
      <w:r>
        <w:rPr>
          <w:rFonts w:hint="eastAsia" w:ascii="宋体" w:hAnsi="宋体" w:eastAsia="宋体" w:cs="宋体"/>
          <w:color w:val="auto"/>
          <w:highlight w:val="none"/>
        </w:rPr>
        <w:t>4. 评标办法</w:t>
      </w:r>
      <w:bookmarkEnd w:id="73"/>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经评审的</w:t>
      </w:r>
      <w:r>
        <w:rPr>
          <w:rFonts w:hint="eastAsia" w:ascii="宋体" w:hAnsi="宋体" w:eastAsia="宋体" w:cs="宋体"/>
          <w:b w:val="0"/>
          <w:bCs w:val="0"/>
          <w:color w:val="auto"/>
          <w:kern w:val="2"/>
          <w:sz w:val="21"/>
          <w:szCs w:val="24"/>
          <w:highlight w:val="none"/>
          <w:lang w:val="en-US" w:eastAsia="zh-CN" w:bidi="ar-SA"/>
        </w:rPr>
        <w:t>最低投标价法</w:t>
      </w:r>
      <w:r>
        <w:rPr>
          <w:rFonts w:hint="eastAsia" w:ascii="宋体" w:hAnsi="宋体" w:cs="宋体"/>
          <w:b w:val="0"/>
          <w:bCs w:val="0"/>
          <w:color w:val="auto"/>
          <w:kern w:val="2"/>
          <w:sz w:val="21"/>
          <w:szCs w:val="24"/>
          <w:highlight w:val="none"/>
          <w:lang w:val="en-US" w:eastAsia="zh-CN" w:bidi="ar-SA"/>
        </w:rPr>
        <w:t>。</w:t>
      </w:r>
    </w:p>
    <w:p>
      <w:pPr>
        <w:pStyle w:val="4"/>
        <w:spacing w:before="120" w:after="0" w:line="400" w:lineRule="exact"/>
        <w:rPr>
          <w:rFonts w:ascii="宋体" w:hAnsi="宋体" w:eastAsia="宋体" w:cs="宋体"/>
          <w:color w:val="auto"/>
          <w:highlight w:val="none"/>
        </w:rPr>
      </w:pPr>
      <w:bookmarkStart w:id="79" w:name="_Toc8694"/>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64"/>
      <w:bookmarkEnd w:id="65"/>
      <w:bookmarkEnd w:id="66"/>
      <w:bookmarkEnd w:id="67"/>
      <w:bookmarkEnd w:id="68"/>
      <w:bookmarkEnd w:id="69"/>
      <w:bookmarkEnd w:id="70"/>
      <w:bookmarkEnd w:id="74"/>
      <w:bookmarkEnd w:id="75"/>
      <w:bookmarkEnd w:id="76"/>
      <w:bookmarkEnd w:id="77"/>
      <w:bookmarkEnd w:id="78"/>
      <w:bookmarkEnd w:id="79"/>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80" w:name="_Toc11329217"/>
      <w:bookmarkStart w:id="81" w:name="_Toc152045516"/>
      <w:bookmarkStart w:id="82" w:name="_Toc246996905"/>
      <w:bookmarkStart w:id="83" w:name="_Toc507319895"/>
      <w:bookmarkStart w:id="84" w:name="_Toc152042292"/>
      <w:bookmarkStart w:id="85" w:name="_Toc247085676"/>
      <w:bookmarkStart w:id="86" w:name="_Toc179632532"/>
      <w:bookmarkStart w:id="87" w:name="_Toc246996162"/>
      <w:bookmarkStart w:id="88" w:name="_Toc144974484"/>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89" w:name="_Toc31493"/>
      <w:bookmarkStart w:id="90" w:name="_Toc18060"/>
      <w:bookmarkStart w:id="91" w:name="_Toc9131"/>
      <w:bookmarkStart w:id="92" w:name="_Toc16686"/>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80"/>
      <w:bookmarkEnd w:id="81"/>
      <w:bookmarkEnd w:id="82"/>
      <w:bookmarkEnd w:id="83"/>
      <w:bookmarkEnd w:id="84"/>
      <w:bookmarkEnd w:id="85"/>
      <w:bookmarkEnd w:id="86"/>
      <w:bookmarkEnd w:id="87"/>
      <w:bookmarkEnd w:id="88"/>
      <w:r>
        <w:rPr>
          <w:rFonts w:hint="eastAsia" w:ascii="宋体" w:hAnsi="宋体" w:eastAsia="宋体" w:cs="宋体"/>
          <w:color w:val="auto"/>
          <w:highlight w:val="none"/>
        </w:rPr>
        <w:t>及相关事宜</w:t>
      </w:r>
      <w:bookmarkEnd w:id="89"/>
      <w:bookmarkEnd w:id="90"/>
      <w:bookmarkEnd w:id="91"/>
      <w:bookmarkEnd w:id="92"/>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28</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93"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93"/>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94" w:name="_Toc246996164"/>
      <w:bookmarkStart w:id="95" w:name="_Toc179632534"/>
      <w:bookmarkStart w:id="96" w:name="_Toc28867"/>
      <w:bookmarkStart w:id="97" w:name="_Toc11329219"/>
      <w:bookmarkStart w:id="98" w:name="_Toc152042293"/>
      <w:bookmarkStart w:id="99" w:name="_Toc247085678"/>
      <w:bookmarkStart w:id="100" w:name="_Toc18402"/>
      <w:bookmarkStart w:id="101" w:name="_Toc144974485"/>
      <w:bookmarkStart w:id="102" w:name="_Toc393"/>
      <w:bookmarkStart w:id="103" w:name="_Toc21615"/>
      <w:bookmarkStart w:id="104" w:name="_Toc152045517"/>
      <w:bookmarkStart w:id="105" w:name="_Toc507319897"/>
      <w:bookmarkStart w:id="106" w:name="_Toc246996907"/>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94"/>
      <w:bookmarkEnd w:id="95"/>
      <w:bookmarkEnd w:id="96"/>
      <w:bookmarkEnd w:id="97"/>
      <w:bookmarkEnd w:id="98"/>
      <w:bookmarkEnd w:id="99"/>
      <w:bookmarkEnd w:id="100"/>
      <w:bookmarkEnd w:id="101"/>
      <w:bookmarkEnd w:id="102"/>
      <w:bookmarkEnd w:id="103"/>
      <w:bookmarkEnd w:id="104"/>
      <w:bookmarkEnd w:id="105"/>
      <w:bookmarkEnd w:id="106"/>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余</w:t>
            </w:r>
            <w:r>
              <w:rPr>
                <w:rFonts w:hint="eastAsia" w:ascii="宋体" w:hAnsi="宋体" w:cs="宋体"/>
                <w:szCs w:val="21"/>
                <w:highlight w:val="none"/>
              </w:rPr>
              <w:t>老师  电 话：</w:t>
            </w:r>
            <w:r>
              <w:rPr>
                <w:rFonts w:hint="eastAsia" w:ascii="宋体" w:hAnsi="宋体" w:cs="宋体"/>
                <w:szCs w:val="21"/>
                <w:highlight w:val="none"/>
                <w:lang w:val="en-US" w:eastAsia="zh-CN"/>
              </w:rPr>
              <w:t>17723894158</w:t>
            </w:r>
          </w:p>
        </w:tc>
      </w:tr>
      <w:tr>
        <w:tblPrEx>
          <w:tblCellMar>
            <w:top w:w="0" w:type="dxa"/>
            <w:left w:w="108" w:type="dxa"/>
            <w:bottom w:w="0" w:type="dxa"/>
            <w:right w:w="108" w:type="dxa"/>
          </w:tblCellMar>
        </w:tblPrEx>
        <w:trPr>
          <w:trHeight w:val="448"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107" w:name="_Toc2000405"/>
      <w:bookmarkStart w:id="108" w:name="_Toc246996173"/>
      <w:bookmarkStart w:id="109" w:name="_Toc152042303"/>
      <w:bookmarkStart w:id="110" w:name="_Toc152045527"/>
      <w:bookmarkStart w:id="111" w:name="_Toc179632544"/>
      <w:bookmarkStart w:id="112" w:name="_Toc246996916"/>
      <w:bookmarkStart w:id="113" w:name="_Toc507319898"/>
      <w:bookmarkStart w:id="114" w:name="_Toc144974495"/>
      <w:bookmarkStart w:id="115" w:name="_Toc247085687"/>
      <w:r>
        <w:rPr>
          <w:rFonts w:hint="eastAsia" w:ascii="宋体" w:hAnsi="宋体" w:cs="宋体"/>
          <w:color w:val="auto"/>
          <w:highlight w:val="none"/>
        </w:rPr>
        <w:br w:type="page"/>
      </w:r>
      <w:bookmarkStart w:id="116" w:name="_Toc10659"/>
      <w:r>
        <w:rPr>
          <w:rFonts w:hint="eastAsia" w:ascii="宋体" w:hAnsi="宋体" w:cs="宋体"/>
          <w:color w:val="auto"/>
          <w:highlight w:val="none"/>
        </w:rPr>
        <w:t>第二章 报价人须知</w:t>
      </w:r>
      <w:bookmarkEnd w:id="107"/>
      <w:bookmarkEnd w:id="108"/>
      <w:bookmarkEnd w:id="109"/>
      <w:bookmarkEnd w:id="110"/>
      <w:bookmarkEnd w:id="111"/>
      <w:bookmarkEnd w:id="112"/>
      <w:bookmarkEnd w:id="113"/>
      <w:bookmarkEnd w:id="114"/>
      <w:bookmarkEnd w:id="115"/>
      <w:bookmarkEnd w:id="116"/>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17"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18" w:name="单据名称2"/>
            <w:r>
              <w:rPr>
                <w:rFonts w:hint="eastAsia" w:ascii="宋体" w:hAnsi="宋体" w:cs="宋体"/>
                <w:i w:val="0"/>
                <w:iCs w:val="0"/>
                <w:color w:val="auto"/>
                <w:szCs w:val="21"/>
                <w:highlight w:val="none"/>
                <w:u w:val="single"/>
                <w:lang w:val="en-US" w:eastAsia="zh-CN"/>
              </w:rPr>
              <w:t>2026-2027年总中心华为通信传输系统维护服务</w:t>
            </w:r>
            <w:bookmarkEnd w:id="1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b w:val="0"/>
                <w:bCs/>
                <w:color w:val="auto"/>
                <w:sz w:val="21"/>
                <w:szCs w:val="21"/>
                <w:highlight w:val="none"/>
                <w:lang w:eastAsia="zh-CN" w:bidi="ar"/>
              </w:rPr>
              <w:t>本项目</w:t>
            </w:r>
            <w:r>
              <w:rPr>
                <w:rFonts w:hint="eastAsia" w:ascii="宋体" w:hAnsi="宋体" w:eastAsia="宋体" w:cs="宋体"/>
                <w:b w:val="0"/>
                <w:bCs/>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172992.00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19" w:name="支付方式"/>
            <w:r>
              <w:rPr>
                <w:rFonts w:hint="eastAsia" w:ascii="宋体" w:hAnsi="宋体" w:cs="宋体"/>
                <w:b w:val="0"/>
                <w:bCs w:val="0"/>
                <w:color w:val="auto"/>
                <w:sz w:val="21"/>
                <w:szCs w:val="21"/>
                <w:highlight w:val="none"/>
                <w:lang w:val="en-US" w:eastAsia="zh-CN"/>
              </w:rPr>
              <w:t>每年支付一次，根据合同据实计量乙方实施的维护工作，由乙方提交书面支付申请、相关证明材料以及对应增值税专用发票经甲方审核无误后20日内支付至当期结算金额的100%。</w:t>
            </w:r>
            <w:bookmarkEnd w:id="1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20" w:name="是否提供投标保证金"/>
            <w:r>
              <w:rPr>
                <w:rFonts w:hint="eastAsia" w:hAnsi="宋体" w:cs="宋体"/>
                <w:b w:val="0"/>
                <w:bCs w:val="0"/>
                <w:color w:val="auto"/>
                <w:kern w:val="0"/>
                <w:sz w:val="21"/>
                <w:szCs w:val="18"/>
                <w:highlight w:val="none"/>
                <w:lang w:val="en-US" w:eastAsia="zh-CN" w:bidi="ar"/>
              </w:rPr>
              <w:t>是</w:t>
            </w:r>
            <w:bookmarkEnd w:id="120"/>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21" w:name="投标保证金"/>
            <w:r>
              <w:rPr>
                <w:rFonts w:hint="eastAsia" w:hAnsi="宋体" w:cs="宋体"/>
                <w:color w:val="auto"/>
                <w:sz w:val="21"/>
                <w:szCs w:val="21"/>
                <w:highlight w:val="none"/>
                <w:u w:val="single"/>
                <w:lang w:val="en-US" w:eastAsia="zh-CN"/>
              </w:rPr>
              <w:t>1000.00</w:t>
            </w:r>
            <w:bookmarkEnd w:id="121"/>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22" w:name="单据名称3"/>
            <w:r>
              <w:rPr>
                <w:rFonts w:hint="eastAsia" w:ascii="宋体" w:hAnsi="宋体" w:eastAsia="宋体" w:cs="宋体"/>
                <w:i w:val="0"/>
                <w:iCs w:val="0"/>
                <w:color w:val="auto"/>
                <w:sz w:val="21"/>
                <w:szCs w:val="21"/>
                <w:highlight w:val="none"/>
                <w:u w:val="single"/>
              </w:rPr>
              <w:t>2026-2027年总中心华为通信传输系统维护服务</w:t>
            </w:r>
            <w:bookmarkEnd w:id="122"/>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b w:val="0"/>
                <w:bCs w:val="0"/>
                <w:color w:val="auto"/>
                <w:kern w:val="2"/>
                <w:sz w:val="21"/>
                <w:szCs w:val="21"/>
                <w:highlight w:val="none"/>
                <w:lang w:val="en-US" w:eastAsia="zh-CN"/>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23" w:name="是否提供履约保证金"/>
            <w:r>
              <w:rPr>
                <w:rFonts w:hint="eastAsia" w:hAnsi="宋体" w:cs="宋体"/>
                <w:b w:val="0"/>
                <w:bCs w:val="0"/>
                <w:color w:val="auto"/>
                <w:kern w:val="0"/>
                <w:sz w:val="21"/>
                <w:szCs w:val="18"/>
                <w:highlight w:val="none"/>
                <w:lang w:val="en-US" w:eastAsia="zh-CN" w:bidi="ar"/>
              </w:rPr>
              <w:t>否</w:t>
            </w:r>
            <w:bookmarkEnd w:id="123"/>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24" w:name="履约保证金"/>
            <w:bookmarkEnd w:id="124"/>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25" w:name="单据名称4"/>
            <w:r>
              <w:rPr>
                <w:rFonts w:hint="eastAsia" w:ascii="宋体" w:hAnsi="宋体" w:eastAsia="宋体" w:cs="宋体"/>
                <w:i w:val="0"/>
                <w:iCs w:val="0"/>
                <w:color w:val="auto"/>
                <w:sz w:val="21"/>
                <w:szCs w:val="21"/>
                <w:highlight w:val="none"/>
                <w:u w:val="single"/>
              </w:rPr>
              <w:t>2026-2027年总中心华为通信传输系统维护服务</w:t>
            </w:r>
            <w:bookmarkEnd w:id="125"/>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26" w:name="是否提供低价风险担保金"/>
            <w:r>
              <w:rPr>
                <w:rFonts w:hint="eastAsia" w:ascii="宋体" w:hAnsi="宋体" w:cs="宋体"/>
                <w:b w:val="0"/>
                <w:bCs w:val="0"/>
                <w:color w:val="auto"/>
                <w:kern w:val="0"/>
                <w:sz w:val="21"/>
                <w:szCs w:val="18"/>
                <w:highlight w:val="none"/>
                <w:lang w:val="en-US" w:eastAsia="zh-CN" w:bidi="ar"/>
              </w:rPr>
              <w:t>是</w:t>
            </w:r>
            <w:bookmarkEnd w:id="126"/>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eastAsia="宋体"/>
                <w:color w:val="auto"/>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kinsoku/>
              <w:wordWrap w:val="0"/>
              <w:overflowPunct/>
              <w:topLinePunct w:val="0"/>
              <w:bidi w:val="0"/>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kinsoku/>
              <w:wordWrap w:val="0"/>
              <w:overflowPunct/>
              <w:topLinePunct w:val="0"/>
              <w:bidi w:val="0"/>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17"/>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7" w:name="_Hlt227984024"/>
      <w:bookmarkEnd w:id="127"/>
    </w:p>
    <w:p>
      <w:pPr>
        <w:pStyle w:val="4"/>
        <w:jc w:val="center"/>
        <w:rPr>
          <w:rFonts w:ascii="宋体" w:hAnsi="宋体" w:eastAsia="宋体" w:cs="宋体"/>
          <w:bCs w:val="0"/>
          <w:color w:val="auto"/>
          <w:sz w:val="28"/>
          <w:szCs w:val="28"/>
          <w:highlight w:val="none"/>
        </w:rPr>
      </w:pPr>
      <w:bookmarkStart w:id="128" w:name="_Toc17532"/>
      <w:bookmarkStart w:id="129" w:name="_Toc11284"/>
      <w:bookmarkStart w:id="130" w:name="_Toc11329222"/>
      <w:bookmarkStart w:id="131" w:name="_Toc30198"/>
      <w:bookmarkStart w:id="132" w:name="_Toc6693"/>
      <w:r>
        <w:rPr>
          <w:rFonts w:hint="eastAsia" w:ascii="宋体" w:hAnsi="宋体" w:eastAsia="宋体" w:cs="宋体"/>
          <w:color w:val="auto"/>
          <w:sz w:val="28"/>
          <w:szCs w:val="28"/>
          <w:highlight w:val="none"/>
        </w:rPr>
        <w:t xml:space="preserve">附录1  </w:t>
      </w:r>
      <w:bookmarkEnd w:id="128"/>
      <w:bookmarkEnd w:id="129"/>
      <w:bookmarkEnd w:id="130"/>
      <w:bookmarkEnd w:id="131"/>
      <w:bookmarkStart w:id="133" w:name="_Toc25591"/>
      <w:bookmarkStart w:id="134" w:name="_Toc11329226"/>
      <w:bookmarkStart w:id="135" w:name="_Toc12773"/>
      <w:bookmarkStart w:id="136" w:name="_Toc27096"/>
      <w:r>
        <w:rPr>
          <w:rFonts w:hint="eastAsia" w:ascii="宋体" w:hAnsi="宋体" w:eastAsia="宋体" w:cs="宋体"/>
          <w:bCs w:val="0"/>
          <w:color w:val="auto"/>
          <w:sz w:val="28"/>
          <w:szCs w:val="28"/>
          <w:highlight w:val="none"/>
        </w:rPr>
        <w:t>报价人资格要求</w:t>
      </w:r>
      <w:bookmarkEnd w:id="132"/>
      <w:bookmarkEnd w:id="133"/>
      <w:bookmarkEnd w:id="134"/>
      <w:bookmarkEnd w:id="135"/>
      <w:bookmarkEnd w:id="136"/>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37" w:name="_Toc387234996"/>
            <w:bookmarkStart w:id="138" w:name="_Toc388534043"/>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39" w:name="资质要求1"/>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（2）报价人需提供制造商（华为）针对本项目的授权证书。</w:t>
            </w:r>
            <w:bookmarkEnd w:id="1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40" w:name="业绩要求1"/>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2022年1月1日至报价截止日期（以合同签订时间为准）至少完成一项合同金额不低于5万元的通信传输设备维护或销售业绩。</w:t>
            </w:r>
            <w:bookmarkEnd w:id="1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1" w:name="主要管理人员要求"/>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1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2" w:name="其他人员要求"/>
            <w:r>
              <w:rPr>
                <w:rFonts w:hint="eastAsia" w:ascii="宋体" w:hAnsi="宋体" w:cs="宋体"/>
                <w:b w:val="0"/>
                <w:bCs w:val="0"/>
                <w:color w:val="auto"/>
                <w:szCs w:val="21"/>
                <w:highlight w:val="none"/>
                <w:lang w:val="en-US" w:eastAsia="zh-CN"/>
              </w:rPr>
              <w:t>维护人员2人，为报价人公司正式员工且该单位有1年及以上工作经验。</w:t>
            </w:r>
            <w:bookmarkEnd w:id="1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bookmarkEnd w:id="137"/>
    <w:bookmarkEnd w:id="138"/>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43" w:name="_Toc21198"/>
      <w:bookmarkStart w:id="144" w:name="_Toc29226"/>
      <w:r>
        <w:rPr>
          <w:rFonts w:hint="eastAsia" w:ascii="宋体" w:hAnsi="宋体" w:cs="宋体"/>
          <w:color w:val="auto"/>
          <w:highlight w:val="none"/>
        </w:rPr>
        <w:t>评标办法（经评审的最低投标价法）</w:t>
      </w:r>
      <w:bookmarkEnd w:id="143"/>
      <w:bookmarkEnd w:id="144"/>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如出现报价相等时，评审小组按以下原则确定第一中标候选人：</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以最早提交报价文件的报价人为第一中标候选人</w:t>
            </w:r>
            <w:r>
              <w:rPr>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olor w:val="auto"/>
                <w:kern w:val="0"/>
                <w:highlight w:val="none"/>
              </w:rPr>
              <w:t>符合性审查</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highlight w:val="none"/>
              </w:rPr>
            </w:pPr>
            <w:r>
              <w:rPr>
                <w:rFonts w:hint="eastAsia" w:ascii="宋体" w:hAnsi="宋体"/>
                <w:color w:val="auto"/>
                <w:kern w:val="0"/>
                <w:highlight w:val="none"/>
              </w:rPr>
              <w:t>取报价排序前</w:t>
            </w:r>
            <w:r>
              <w:rPr>
                <w:rFonts w:hint="eastAsia" w:ascii="宋体" w:hAnsi="宋体"/>
                <w:color w:val="auto"/>
                <w:kern w:val="0"/>
                <w:highlight w:val="none"/>
                <w:lang w:eastAsia="zh-CN"/>
              </w:rPr>
              <w:t>☑</w:t>
            </w:r>
            <w:r>
              <w:rPr>
                <w:rFonts w:hint="eastAsia" w:ascii="宋体" w:hAnsi="宋体"/>
                <w:color w:val="auto"/>
                <w:kern w:val="0"/>
                <w:highlight w:val="none"/>
              </w:rPr>
              <w:t>5□6□7名（若实际</w:t>
            </w:r>
            <w:r>
              <w:rPr>
                <w:rFonts w:hint="eastAsia" w:ascii="宋体" w:hAnsi="宋体"/>
                <w:color w:val="auto"/>
                <w:kern w:val="0"/>
                <w:highlight w:val="none"/>
                <w:lang w:val="en-US" w:eastAsia="zh-CN"/>
              </w:rPr>
              <w:t>报价</w:t>
            </w:r>
            <w:r>
              <w:rPr>
                <w:rFonts w:hint="eastAsia" w:ascii="宋体" w:hAnsi="宋体"/>
                <w:color w:val="auto"/>
                <w:kern w:val="0"/>
                <w:highlight w:val="none"/>
              </w:rPr>
              <w:t>人数量小于勾选数量，</w:t>
            </w:r>
            <w:r>
              <w:rPr>
                <w:rFonts w:hint="eastAsia" w:ascii="宋体" w:hAnsi="宋体"/>
                <w:color w:val="auto"/>
                <w:spacing w:val="4"/>
                <w:kern w:val="0"/>
                <w:szCs w:val="21"/>
                <w:highlight w:val="none"/>
              </w:rPr>
              <w:t>则全部纳入）进行符合性审查。符合性审查内容：形式评审、资格评审、响应性评审。符合性审查</w:t>
            </w:r>
            <w:r>
              <w:rPr>
                <w:rFonts w:hint="eastAsia" w:ascii="宋体" w:hAnsi="宋体"/>
                <w:color w:val="auto"/>
                <w:kern w:val="0"/>
                <w:highlight w:val="none"/>
              </w:rPr>
              <w:t>合格的</w:t>
            </w:r>
            <w:r>
              <w:rPr>
                <w:rFonts w:hint="eastAsia" w:ascii="宋体" w:hAnsi="宋体"/>
                <w:color w:val="auto"/>
                <w:kern w:val="0"/>
                <w:highlight w:val="none"/>
                <w:lang w:val="en-US" w:eastAsia="zh-CN"/>
              </w:rPr>
              <w:t>报价</w:t>
            </w:r>
            <w:r>
              <w:rPr>
                <w:rFonts w:hint="eastAsia" w:ascii="宋体" w:hAnsi="宋体"/>
                <w:color w:val="auto"/>
                <w:kern w:val="0"/>
                <w:highlight w:val="none"/>
              </w:rPr>
              <w:t>人中，报价最低的成为第一中标候选人，报价次低的成为第二中标候选人，依次类推。</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color w:val="auto"/>
                <w:highlight w:val="none"/>
              </w:rPr>
            </w:pPr>
            <w:r>
              <w:rPr>
                <w:rFonts w:hint="eastAsia" w:ascii="宋体" w:hAnsi="宋体"/>
                <w:color w:val="auto"/>
                <w:kern w:val="0"/>
                <w:highlight w:val="none"/>
              </w:rPr>
              <w:t>符合性审查中有任何一项不符合要求，符合性审查不合格，</w:t>
            </w:r>
            <w:r>
              <w:rPr>
                <w:rFonts w:hint="eastAsia" w:ascii="宋体" w:hAnsi="宋体"/>
                <w:color w:val="auto"/>
                <w:kern w:val="0"/>
                <w:highlight w:val="none"/>
                <w:lang w:val="en-US" w:eastAsia="zh-CN"/>
              </w:rPr>
              <w:t>其</w:t>
            </w:r>
            <w:r>
              <w:rPr>
                <w:rFonts w:hint="eastAsia" w:ascii="宋体" w:hAnsi="宋体" w:cs="宋体"/>
                <w:color w:val="auto"/>
                <w:sz w:val="21"/>
                <w:szCs w:val="21"/>
                <w:highlight w:val="none"/>
                <w:lang w:eastAsia="zh-CN"/>
              </w:rPr>
              <w:t>竞争性比选响应文件</w:t>
            </w:r>
            <w:r>
              <w:rPr>
                <w:rFonts w:hint="eastAsia" w:ascii="宋体" w:hAnsi="宋体"/>
                <w:color w:val="auto"/>
                <w:kern w:val="0"/>
                <w:highlight w:val="none"/>
              </w:rPr>
              <w:t>由评标委员会作否决处理。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函签</w:t>
            </w:r>
            <w:r>
              <w:rPr>
                <w:rFonts w:hint="eastAsia"/>
                <w:color w:val="auto"/>
                <w:highlight w:val="none"/>
                <w:lang w:val="en-US" w:eastAsia="zh-CN"/>
              </w:rPr>
              <w:t>名</w:t>
            </w:r>
            <w:r>
              <w:rPr>
                <w:color w:val="auto"/>
                <w:highlight w:val="none"/>
              </w:rPr>
              <w:t>盖章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有法定代表人或委托代理人签</w:t>
            </w:r>
            <w:r>
              <w:rPr>
                <w:rFonts w:hint="eastAsia"/>
                <w:color w:val="auto"/>
                <w:highlight w:val="none"/>
                <w:lang w:val="en-US" w:eastAsia="zh-CN"/>
              </w:rPr>
              <w:t>名</w:t>
            </w:r>
            <w:r>
              <w:rPr>
                <w:color w:val="auto"/>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竞争性</w:t>
            </w:r>
            <w:r>
              <w:rPr>
                <w:color w:val="auto"/>
                <w:highlight w:val="none"/>
              </w:rPr>
              <w:t>比选</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六</w:t>
            </w:r>
            <w:r>
              <w:rPr>
                <w:color w:val="auto"/>
                <w:highlight w:val="none"/>
              </w:rPr>
              <w:t>章</w:t>
            </w:r>
            <w:r>
              <w:rPr>
                <w:rFonts w:hint="eastAsia"/>
                <w:color w:val="auto"/>
                <w:highlight w:val="none"/>
                <w:lang w:eastAsia="zh-CN"/>
              </w:rPr>
              <w:t>“</w:t>
            </w:r>
            <w:r>
              <w:rPr>
                <w:rFonts w:hint="eastAsia"/>
                <w:color w:val="auto"/>
                <w:highlight w:val="none"/>
              </w:rPr>
              <w:t>竞争性</w:t>
            </w:r>
            <w:r>
              <w:rPr>
                <w:color w:val="auto"/>
                <w:highlight w:val="none"/>
              </w:rPr>
              <w:t>比选响应文件格式</w:t>
            </w:r>
            <w:r>
              <w:rPr>
                <w:rFonts w:hint="eastAsia"/>
                <w:color w:val="auto"/>
                <w:highlight w:val="none"/>
                <w:lang w:eastAsia="zh-CN"/>
              </w:rPr>
              <w:t>”</w:t>
            </w:r>
            <w:r>
              <w:rPr>
                <w:color w:val="auto"/>
                <w:highlight w:val="none"/>
              </w:rPr>
              <w:t>的要求，字迹清晰可辨。</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sz w:val="21"/>
                <w:szCs w:val="21"/>
                <w:highlight w:val="none"/>
                <w:lang w:val="en-US" w:eastAsia="zh-CN"/>
              </w:rPr>
              <w:t>资质要求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主要管理人员要求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i/>
                <w:iCs/>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其他人员要求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highlight w:val="none"/>
                <w:lang w:val="en-US" w:eastAsia="zh-CN"/>
              </w:rPr>
              <w:t>服务地点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ascii="宋体" w:hAnsi="宋体" w:cs="宋体"/>
                <w:color w:val="auto"/>
                <w:highlight w:val="none"/>
              </w:rPr>
              <w:t>项目规模</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color w:val="auto"/>
                <w:highlight w:val="none"/>
                <w:lang w:val="en-US" w:eastAsia="zh-CN"/>
              </w:rPr>
              <w:t>投标内容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Cs w:val="21"/>
                <w:highlight w:val="none"/>
                <w:lang w:val="en-US" w:eastAsia="zh-CN"/>
              </w:rPr>
            </w:pPr>
            <w:r>
              <w:rPr>
                <w:rFonts w:hint="eastAsia" w:ascii="宋体" w:hAnsi="宋体" w:cs="宋体"/>
                <w:color w:val="auto"/>
                <w:highlight w:val="none"/>
              </w:rPr>
              <w:t>服务期限</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color w:val="auto"/>
                <w:highlight w:val="none"/>
                <w:lang w:val="en-US" w:eastAsia="zh-CN"/>
              </w:rPr>
            </w:pPr>
            <w:r>
              <w:rPr>
                <w:rFonts w:hint="eastAsia" w:ascii="宋体" w:hAnsi="宋体" w:cs="宋体"/>
                <w:color w:val="auto"/>
                <w:szCs w:val="21"/>
                <w:highlight w:val="none"/>
                <w:lang w:val="en-US" w:eastAsia="zh-CN"/>
              </w:rPr>
              <w:t>服务要求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偏差</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保证金</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color w:val="auto"/>
                <w:highlight w:val="none"/>
              </w:rPr>
            </w:pPr>
            <w:r>
              <w:rPr>
                <w:color w:val="auto"/>
                <w:highlight w:val="none"/>
              </w:rPr>
              <w:t>补充细化：</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pPr>
        <w:rPr>
          <w:color w:val="auto"/>
          <w:highlight w:val="none"/>
        </w:rPr>
      </w:pPr>
    </w:p>
    <w:p>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rPr>
      </w:pPr>
      <w:bookmarkStart w:id="145" w:name="_Toc1506"/>
      <w:bookmarkStart w:id="146" w:name="_Toc15534"/>
      <w:r>
        <w:rPr>
          <w:rFonts w:hint="eastAsia" w:ascii="宋体" w:hAnsi="宋体" w:cs="宋体"/>
          <w:color w:val="auto"/>
          <w:sz w:val="21"/>
          <w:szCs w:val="21"/>
          <w:highlight w:val="none"/>
        </w:rPr>
        <w:t>1. 评标方法</w:t>
      </w:r>
      <w:bookmarkEnd w:id="145"/>
      <w:bookmarkEnd w:id="146"/>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ascii="宋体" w:hAnsi="宋体"/>
          <w:color w:val="auto"/>
          <w:sz w:val="21"/>
          <w:szCs w:val="21"/>
          <w:highlight w:val="none"/>
        </w:rPr>
      </w:pPr>
      <w:r>
        <w:rPr>
          <w:rFonts w:hint="eastAsia" w:ascii="宋体" w:hAnsi="宋体"/>
          <w:color w:val="auto"/>
          <w:sz w:val="21"/>
          <w:szCs w:val="21"/>
          <w:highlight w:val="none"/>
        </w:rPr>
        <w:t>本次评标采用经评审的最低投标价法，评标委员会按照本章第2.1款进行报价排序，按照本章第2.2款进行符合性审查，符合性审查合格的</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中按报价由低到高推荐中标候选人，或根据采购人授权直接确定中标人。若出现</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投标报价相同的，以评标办法前附表约定的原则确定排序。</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1"/>
        <w:rPr>
          <w:rFonts w:hint="eastAsia" w:ascii="宋体" w:hAnsi="宋体" w:cs="宋体"/>
          <w:color w:val="auto"/>
          <w:sz w:val="21"/>
          <w:szCs w:val="21"/>
          <w:highlight w:val="none"/>
        </w:rPr>
      </w:pPr>
      <w:bookmarkStart w:id="147" w:name="_Toc14299"/>
      <w:bookmarkStart w:id="148" w:name="_Toc2783"/>
      <w:bookmarkStart w:id="149" w:name="_Toc4220"/>
      <w:bookmarkStart w:id="150" w:name="_Toc33106442"/>
      <w:bookmarkStart w:id="151" w:name="_Toc57795919"/>
      <w:r>
        <w:rPr>
          <w:rFonts w:hint="eastAsia" w:ascii="宋体" w:hAnsi="宋体" w:cs="宋体"/>
          <w:color w:val="auto"/>
          <w:sz w:val="21"/>
          <w:szCs w:val="21"/>
          <w:highlight w:val="none"/>
        </w:rPr>
        <w:t>2. 评审标准</w:t>
      </w:r>
      <w:bookmarkEnd w:id="147"/>
      <w:bookmarkEnd w:id="148"/>
      <w:bookmarkEnd w:id="149"/>
      <w:bookmarkEnd w:id="150"/>
      <w:bookmarkEnd w:id="151"/>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2" w:name="_Toc33106443"/>
      <w:bookmarkStart w:id="153" w:name="_Toc57795920"/>
      <w:r>
        <w:rPr>
          <w:rFonts w:hint="eastAsia" w:ascii="宋体" w:hAnsi="宋体" w:cs="宋体"/>
          <w:color w:val="auto"/>
          <w:sz w:val="21"/>
          <w:szCs w:val="21"/>
          <w:highlight w:val="none"/>
        </w:rPr>
        <w:t>2.1报价排序</w:t>
      </w:r>
      <w:bookmarkEnd w:id="152"/>
      <w:r>
        <w:rPr>
          <w:rFonts w:hint="eastAsia" w:ascii="宋体" w:hAnsi="宋体" w:cs="宋体"/>
          <w:color w:val="auto"/>
          <w:sz w:val="21"/>
          <w:szCs w:val="21"/>
          <w:highlight w:val="none"/>
        </w:rPr>
        <w:t>标准</w:t>
      </w:r>
      <w:bookmarkEnd w:id="153"/>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见评标办法前附表。</w:t>
      </w:r>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4" w:name="_Toc33106444"/>
      <w:bookmarkStart w:id="155" w:name="_Toc57795921"/>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154"/>
      <w:r>
        <w:rPr>
          <w:rFonts w:hint="eastAsia" w:ascii="宋体" w:hAnsi="宋体" w:cs="宋体"/>
          <w:color w:val="auto"/>
          <w:sz w:val="21"/>
          <w:szCs w:val="21"/>
          <w:highlight w:val="none"/>
        </w:rPr>
        <w:t>标准</w:t>
      </w:r>
      <w:bookmarkEnd w:id="155"/>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按评标办法前附表约定的投标单位报价排序数量进行符合性审查</w:t>
      </w:r>
      <w:r>
        <w:rPr>
          <w:rFonts w:hint="eastAsia" w:ascii="宋体" w:hAnsi="宋体"/>
          <w:color w:val="auto"/>
          <w:spacing w:val="4"/>
          <w:kern w:val="0"/>
          <w:sz w:val="21"/>
          <w:szCs w:val="21"/>
          <w:highlight w:val="none"/>
        </w:rPr>
        <w:t>。符合性审查内容：技术方案评审（如有）、形式评审、资格评审、响应性、响应声明书部分及经济部分（如有）评审</w:t>
      </w:r>
      <w:r>
        <w:rPr>
          <w:rFonts w:hint="eastAsia" w:ascii="宋体" w:hAnsi="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2.2.1  形式评审标准：见评标办法前附表。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2  资格评审标准：见评标办法前附表。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3  响应性评审标准：见评标办法前附表。</w:t>
      </w:r>
      <w:bookmarkStart w:id="156" w:name="_Toc8634"/>
      <w:bookmarkStart w:id="157" w:name="_Toc57795922"/>
      <w:bookmarkStart w:id="158" w:name="_Toc33106445"/>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lang w:val="en-US" w:eastAsia="zh-CN"/>
        </w:rPr>
      </w:pPr>
      <w:bookmarkStart w:id="159" w:name="_Toc30556"/>
      <w:bookmarkStart w:id="160" w:name="_Toc32470"/>
      <w:r>
        <w:rPr>
          <w:rFonts w:hint="eastAsia" w:ascii="宋体" w:hAnsi="宋体" w:cs="宋体"/>
          <w:color w:val="auto"/>
          <w:sz w:val="21"/>
          <w:szCs w:val="21"/>
          <w:highlight w:val="none"/>
          <w:lang w:val="en-US" w:eastAsia="zh-CN"/>
        </w:rPr>
        <w:t>3. 评标程序</w:t>
      </w:r>
      <w:bookmarkEnd w:id="156"/>
      <w:bookmarkEnd w:id="157"/>
      <w:bookmarkEnd w:id="158"/>
      <w:bookmarkEnd w:id="159"/>
      <w:bookmarkEnd w:id="160"/>
      <w:bookmarkStart w:id="161" w:name="_Toc33106446"/>
      <w:bookmarkStart w:id="162" w:name="_Toc57795923"/>
    </w:p>
    <w:p>
      <w:pPr>
        <w:pageBreakBefore w:val="0"/>
        <w:widowControl w:val="0"/>
        <w:kinsoku/>
        <w:wordWrap/>
        <w:overflowPunct/>
        <w:topLinePunct w:val="0"/>
        <w:bidi w:val="0"/>
        <w:snapToGrid/>
        <w:spacing w:line="400" w:lineRule="exact"/>
        <w:ind w:firstLine="413" w:firstLineChars="197"/>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3.1报价排序</w:t>
      </w:r>
      <w:bookmarkEnd w:id="161"/>
      <w:bookmarkEnd w:id="162"/>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对报价不高于最高限价的所有</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，按照报价由低到高的顺序排序。</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3" w:name="_Toc57795924"/>
      <w:bookmarkStart w:id="164" w:name="_Toc33106447"/>
      <w:r>
        <w:rPr>
          <w:rFonts w:hint="eastAsia" w:ascii="宋体" w:hAnsi="宋体" w:cs="宋体"/>
          <w:color w:val="auto"/>
          <w:sz w:val="21"/>
          <w:szCs w:val="21"/>
          <w:highlight w:val="none"/>
        </w:rPr>
        <w:t>3.2符合性审查</w:t>
      </w:r>
      <w:bookmarkEnd w:id="163"/>
      <w:bookmarkEnd w:id="164"/>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.1评标委员会依据本章第2.</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款规定的标准对</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进行符合性审查。符合性审查顺序：形式评审、资格评审、响应性评审。</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.2 </w:t>
      </w:r>
      <w:r>
        <w:rPr>
          <w:rFonts w:hint="eastAsia" w:ascii="宋体" w:hAnsi="宋体" w:cs="宋体"/>
          <w:color w:val="auto"/>
          <w:sz w:val="21"/>
          <w:szCs w:val="21"/>
          <w:highlight w:val="none"/>
          <w:lang w:eastAsia="zh-CN"/>
        </w:rPr>
        <w:t>报价人</w:t>
      </w:r>
      <w:r>
        <w:rPr>
          <w:rFonts w:ascii="宋体" w:hAnsi="宋体" w:cs="宋体"/>
          <w:color w:val="auto"/>
          <w:sz w:val="21"/>
          <w:szCs w:val="21"/>
          <w:highlight w:val="none"/>
        </w:rPr>
        <w:t>有以下情形之一的，</w:t>
      </w:r>
      <w:r>
        <w:rPr>
          <w:rFonts w:hint="eastAsia" w:ascii="宋体" w:hAnsi="宋体" w:cs="宋体"/>
          <w:color w:val="auto"/>
          <w:sz w:val="21"/>
          <w:szCs w:val="21"/>
          <w:highlight w:val="none"/>
        </w:rPr>
        <w:t>其</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将被否决：</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ascii="宋体" w:hAnsi="宋体" w:cs="宋体"/>
          <w:color w:val="auto"/>
          <w:sz w:val="21"/>
          <w:szCs w:val="21"/>
          <w:highlight w:val="none"/>
        </w:rPr>
        <w:t>）</w:t>
      </w:r>
      <w:r>
        <w:rPr>
          <w:rFonts w:hint="eastAsia" w:ascii="宋体" w:hAnsi="宋体" w:cs="宋体"/>
          <w:color w:val="auto"/>
          <w:sz w:val="21"/>
          <w:szCs w:val="21"/>
          <w:highlight w:val="none"/>
        </w:rPr>
        <w:t>本次投标有串通投标、弄虚作假等其他违反招投标相关法律、法规行为的；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（2）拒绝按评标委员会要求澄清、说明或补正的。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3.2.3 投标报价有算术错误的，评标委员会按以下原则对投标报价进行修正，修正的价格经</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书面确认后具有约束力，修正原则如下：</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中的大写金额与小写金额不一致的，以大写金额为准；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（2）响应声明书中的总报价与已标价采购清单总报价不一致的，由评标委员会作否决投标处理。</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5" w:name="_Toc57795925"/>
      <w:bookmarkStart w:id="166" w:name="_Toc33106448"/>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的澄清和补正</w:t>
      </w:r>
      <w:bookmarkEnd w:id="165"/>
      <w:bookmarkEnd w:id="166"/>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.1 </w:t>
      </w:r>
      <w:r>
        <w:rPr>
          <w:rFonts w:hint="eastAsia" w:ascii="宋体" w:hAnsi="宋体" w:cs="宋体"/>
          <w:color w:val="auto"/>
          <w:sz w:val="21"/>
          <w:szCs w:val="21"/>
          <w:highlight w:val="none"/>
        </w:rPr>
        <w:t>在评标过程中，评标委员会可以书面形式要求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对所提交</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中不明确的内容进行书面澄清或说明，或者对细微偏差进行补正。评标委员会不接受</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主动提出的澄清、说明或补正。</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.2 </w:t>
      </w:r>
      <w:r>
        <w:rPr>
          <w:rFonts w:hint="eastAsia" w:ascii="宋体" w:hAnsi="宋体" w:cs="宋体"/>
          <w:color w:val="auto"/>
          <w:sz w:val="21"/>
          <w:szCs w:val="21"/>
          <w:highlight w:val="none"/>
        </w:rPr>
        <w:t>澄清、说明和补正不得改变</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的实质性内容（算术性错误修正的除外）。</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的书面澄清、说明和补正属于</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的组成部分。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.3 </w:t>
      </w:r>
      <w:r>
        <w:rPr>
          <w:rFonts w:hint="eastAsia" w:ascii="宋体" w:hAnsi="宋体" w:cs="宋体"/>
          <w:color w:val="auto"/>
          <w:sz w:val="21"/>
          <w:szCs w:val="21"/>
          <w:highlight w:val="none"/>
        </w:rPr>
        <w:t>评标委员会对</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提交的澄清、说明或补正有疑问的，可以要求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进一步澄清、说明或补正，直至满足评标委员会的要求。</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7" w:name="_Toc484465184"/>
      <w:bookmarkStart w:id="168" w:name="_Toc33106449"/>
      <w:bookmarkStart w:id="169" w:name="_Toc479262406"/>
      <w:bookmarkStart w:id="170" w:name="_Toc57795926"/>
      <w:r>
        <w:rPr>
          <w:rFonts w:hint="eastAsia" w:ascii="宋体" w:hAnsi="宋体" w:cs="宋体"/>
          <w:color w:val="auto"/>
          <w:sz w:val="21"/>
          <w:szCs w:val="21"/>
          <w:highlight w:val="none"/>
        </w:rPr>
        <w:t>3.4 评标结果</w:t>
      </w:r>
      <w:bookmarkEnd w:id="167"/>
      <w:bookmarkEnd w:id="168"/>
      <w:bookmarkEnd w:id="169"/>
      <w:bookmarkEnd w:id="170"/>
    </w:p>
    <w:p>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outlineLvl w:val="9"/>
        <w:rPr>
          <w:rFonts w:ascii="宋体" w:hAnsi="宋体" w:cs="宋体"/>
          <w:color w:val="auto"/>
          <w:kern w:val="0"/>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除第二章“</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须知”前附表授权直接确定中标人外，评标委员会按经评审的最低投标价法推荐中标候选人。</w:t>
      </w:r>
    </w:p>
    <w:p>
      <w:pPr>
        <w:pageBreakBefore w:val="0"/>
        <w:widowControl w:val="0"/>
        <w:kinsoku/>
        <w:wordWrap/>
        <w:overflowPunct/>
        <w:topLinePunct w:val="0"/>
        <w:bidi w:val="0"/>
        <w:snapToGrid/>
        <w:spacing w:line="400" w:lineRule="exact"/>
        <w:ind w:firstLine="420" w:firstLineChars="200"/>
        <w:jc w:val="left"/>
        <w:textAlignment w:val="auto"/>
        <w:outlineLvl w:val="9"/>
        <w:rPr>
          <w:rFonts w:ascii="宋体" w:hAnsi="宋体" w:cs="宋体"/>
          <w:color w:val="auto"/>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.2</w:t>
      </w:r>
      <w:r>
        <w:rPr>
          <w:rFonts w:hint="eastAsia" w:ascii="宋体" w:hAnsi="宋体" w:cs="宋体"/>
          <w:color w:val="auto"/>
          <w:sz w:val="21"/>
          <w:szCs w:val="21"/>
          <w:highlight w:val="none"/>
        </w:rPr>
        <w:t xml:space="preserve"> 评标委员会完成评标后，应当向采购人提交书面评标报告和中标候选人名单。</w:t>
      </w:r>
    </w:p>
    <w:p>
      <w:pPr>
        <w:pageBreakBefore w:val="0"/>
        <w:widowControl w:val="0"/>
        <w:kinsoku/>
        <w:wordWrap/>
        <w:overflowPunct/>
        <w:topLinePunct w:val="0"/>
        <w:bidi w:val="0"/>
        <w:snapToGrid/>
        <w:spacing w:line="400" w:lineRule="exact"/>
        <w:ind w:firstLine="420" w:firstLineChars="200"/>
        <w:jc w:val="left"/>
        <w:textAlignment w:val="auto"/>
        <w:rPr>
          <w:rFonts w:ascii="宋体" w:hAnsi="宋体" w:cs="宋体"/>
          <w:color w:val="auto"/>
          <w:szCs w:val="21"/>
          <w:highlight w:val="none"/>
        </w:rPr>
      </w:pPr>
    </w:p>
    <w:p>
      <w:pPr>
        <w:rPr>
          <w:rStyle w:val="82"/>
          <w:color w:val="auto"/>
          <w:highlight w:val="none"/>
        </w:rPr>
      </w:pPr>
      <w:r>
        <w:rPr>
          <w:rFonts w:hint="eastAsia" w:ascii="宋体" w:hAnsi="宋体" w:cs="宋体"/>
          <w:color w:val="auto"/>
          <w:szCs w:val="21"/>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71" w:name="_Toc246997096"/>
      <w:bookmarkStart w:id="172" w:name="_Toc247085870"/>
      <w:bookmarkStart w:id="173" w:name="_Toc179632804"/>
      <w:bookmarkStart w:id="174" w:name="_Toc447827049"/>
      <w:bookmarkStart w:id="175" w:name="_Toc514858707"/>
      <w:bookmarkStart w:id="176" w:name="_Toc144974854"/>
      <w:bookmarkStart w:id="177" w:name="_Toc152045785"/>
      <w:bookmarkStart w:id="178" w:name="_Toc503951043"/>
      <w:bookmarkStart w:id="179" w:name="_Toc2000411"/>
      <w:bookmarkStart w:id="180" w:name="_Toc152042574"/>
      <w:bookmarkStart w:id="181" w:name="_Toc246996353"/>
      <w:bookmarkStart w:id="182" w:name="_Toc513633964"/>
      <w:bookmarkStart w:id="183" w:name="_Toc26193"/>
      <w:bookmarkStart w:id="184" w:name="_Toc247085872"/>
      <w:bookmarkStart w:id="185" w:name="_Toc179632806"/>
      <w:bookmarkStart w:id="186" w:name="_Toc144974855"/>
      <w:bookmarkStart w:id="187" w:name="_Toc152042575"/>
      <w:bookmarkStart w:id="188" w:name="_Toc152045786"/>
      <w:bookmarkStart w:id="189" w:name="_Toc246997097"/>
      <w:bookmarkStart w:id="190" w:name="_Toc246996354"/>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71"/>
      <w:bookmarkEnd w:id="172"/>
      <w:bookmarkEnd w:id="173"/>
      <w:bookmarkEnd w:id="174"/>
      <w:bookmarkEnd w:id="175"/>
      <w:bookmarkEnd w:id="176"/>
      <w:bookmarkEnd w:id="177"/>
      <w:bookmarkEnd w:id="178"/>
      <w:bookmarkEnd w:id="179"/>
      <w:bookmarkEnd w:id="180"/>
      <w:bookmarkEnd w:id="181"/>
      <w:bookmarkEnd w:id="182"/>
      <w:r>
        <w:rPr>
          <w:rFonts w:hint="eastAsia" w:ascii="宋体" w:hAnsi="宋体" w:cs="宋体"/>
          <w:color w:val="auto"/>
          <w:highlight w:val="none"/>
          <w:lang w:val="en-US" w:eastAsia="zh-CN"/>
        </w:rPr>
        <w:t>服务要求</w:t>
      </w:r>
      <w:bookmarkEnd w:id="183"/>
    </w:p>
    <w:bookmarkEnd w:id="184"/>
    <w:bookmarkEnd w:id="185"/>
    <w:bookmarkEnd w:id="186"/>
    <w:bookmarkEnd w:id="187"/>
    <w:bookmarkEnd w:id="188"/>
    <w:bookmarkEnd w:id="189"/>
    <w:bookmarkEnd w:id="190"/>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int="eastAsia" w:ascii="宋体" w:hAnsi="宋体" w:cs="宋体"/>
          <w:color w:val="auto"/>
          <w:highlight w:val="none"/>
        </w:rPr>
      </w:pPr>
      <w:bookmarkStart w:id="191" w:name="_Toc514858708"/>
      <w:bookmarkStart w:id="192" w:name="_Toc2000412"/>
      <w:bookmarkStart w:id="193" w:name="_Toc514430114"/>
      <w:bookmarkStart w:id="194" w:name="_Toc144974856"/>
      <w:bookmarkStart w:id="195" w:name="_Toc179632807"/>
      <w:bookmarkStart w:id="196" w:name="_Toc507320039"/>
      <w:bookmarkStart w:id="197" w:name="_Toc246996355"/>
      <w:bookmarkStart w:id="198" w:name="_Toc152045787"/>
      <w:bookmarkStart w:id="199" w:name="_Toc152042576"/>
      <w:bookmarkStart w:id="200" w:name="_Toc247085873"/>
      <w:bookmarkStart w:id="201" w:name="_Toc246997098"/>
    </w:p>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Ansi="宋体" w:cs="方正小标宋_GBK"/>
          <w:b/>
          <w:color w:val="auto"/>
          <w:sz w:val="44"/>
          <w:szCs w:val="44"/>
          <w:highlight w:val="none"/>
        </w:rPr>
      </w:pPr>
      <w:r>
        <w:rPr>
          <w:rFonts w:hint="eastAsia" w:ascii="宋体" w:hAnsi="宋体" w:cs="宋体"/>
          <w:color w:val="auto"/>
          <w:highlight w:val="none"/>
        </w:rPr>
        <w:t>2026年2027年总中心华为通信传输系统维护： 1.机房内华为通信传输系统设备的例行保养、维护、维修； 2.通信传输网管平台的相关维护、新站点接入、更新等； 3.内线电话、平台维护、维修、更新等； 4.至少2名维护工程师。</w:t>
      </w:r>
      <w:r>
        <w:rPr>
          <w:rFonts w:hint="eastAsia" w:ascii="宋体" w:hAnsi="宋体" w:cs="宋体"/>
          <w:color w:val="auto"/>
          <w:highlight w:val="none"/>
        </w:rPr>
        <w:br w:type="page"/>
      </w:r>
      <w:bookmarkStart w:id="202" w:name="_Toc2248"/>
      <w:r>
        <w:rPr>
          <w:rFonts w:hint="eastAsia" w:ascii="宋体" w:hAnsi="宋体" w:eastAsia="宋体" w:cs="宋体"/>
          <w:b/>
          <w:bCs/>
          <w:color w:val="auto"/>
          <w:kern w:val="44"/>
          <w:sz w:val="44"/>
          <w:szCs w:val="44"/>
          <w:highlight w:val="none"/>
          <w:lang w:val="en-US" w:eastAsia="zh-CN" w:bidi="ar-SA"/>
        </w:rPr>
        <w:t xml:space="preserve">第五章  </w:t>
      </w:r>
      <w:bookmarkEnd w:id="191"/>
      <w:bookmarkEnd w:id="192"/>
      <w:bookmarkEnd w:id="193"/>
      <w:r>
        <w:rPr>
          <w:rFonts w:hint="eastAsia" w:ascii="宋体" w:hAnsi="宋体" w:eastAsia="宋体" w:cs="宋体"/>
          <w:b/>
          <w:bCs/>
          <w:color w:val="auto"/>
          <w:kern w:val="44"/>
          <w:sz w:val="44"/>
          <w:szCs w:val="44"/>
          <w:highlight w:val="none"/>
          <w:lang w:val="en-US" w:eastAsia="zh-CN" w:bidi="ar-SA"/>
        </w:rPr>
        <w:t>合同范本</w:t>
      </w:r>
      <w:bookmarkEnd w:id="202"/>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03"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204" w:name="_Toc11294"/>
      <w:bookmarkStart w:id="205" w:name="_Toc2000413"/>
      <w:bookmarkStart w:id="206" w:name="_Toc514858709"/>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203"/>
      <w:bookmarkEnd w:id="204"/>
      <w:bookmarkEnd w:id="205"/>
      <w:bookmarkEnd w:id="206"/>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207" w:name="_Toc513646738"/>
      <w:bookmarkStart w:id="208" w:name="_Toc513633967"/>
      <w:bookmarkStart w:id="209" w:name="_Toc503951046"/>
      <w:bookmarkStart w:id="210" w:name="_Toc503971829"/>
      <w:bookmarkStart w:id="211" w:name="_Toc514858710"/>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7"/>
      <w:bookmarkEnd w:id="208"/>
      <w:bookmarkEnd w:id="209"/>
      <w:bookmarkEnd w:id="210"/>
      <w:bookmarkEnd w:id="211"/>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212" w:name="_Toc11329273"/>
      <w:bookmarkStart w:id="213" w:name="_Toc28780"/>
      <w:bookmarkStart w:id="214" w:name="_Toc5459"/>
      <w:bookmarkStart w:id="215" w:name="_Toc1368"/>
      <w:r>
        <w:rPr>
          <w:rFonts w:hint="eastAsia" w:ascii="宋体" w:hAnsi="宋体" w:eastAsia="宋体" w:cs="宋体"/>
          <w:color w:val="auto"/>
          <w:sz w:val="32"/>
          <w:szCs w:val="40"/>
          <w:highlight w:val="none"/>
        </w:rPr>
        <w:t>目    录</w:t>
      </w:r>
      <w:bookmarkEnd w:id="194"/>
      <w:bookmarkEnd w:id="195"/>
      <w:bookmarkEnd w:id="196"/>
      <w:bookmarkEnd w:id="197"/>
      <w:bookmarkEnd w:id="198"/>
      <w:bookmarkEnd w:id="199"/>
      <w:bookmarkEnd w:id="200"/>
      <w:bookmarkEnd w:id="201"/>
      <w:bookmarkEnd w:id="212"/>
      <w:bookmarkEnd w:id="213"/>
      <w:bookmarkEnd w:id="214"/>
      <w:bookmarkEnd w:id="215"/>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216" w:name="_Toc29547"/>
      <w:bookmarkStart w:id="217" w:name="_Toc15863"/>
      <w:bookmarkStart w:id="218" w:name="_Toc8599"/>
      <w:bookmarkStart w:id="219" w:name="_Toc25874"/>
      <w:bookmarkStart w:id="220" w:name="_Toc503951048"/>
      <w:bookmarkStart w:id="221" w:name="_Toc513633969"/>
      <w:bookmarkStart w:id="222" w:name="_Toc447827053"/>
      <w:r>
        <w:rPr>
          <w:rFonts w:hint="eastAsia" w:ascii="宋体" w:hAnsi="宋体" w:eastAsia="宋体" w:cs="宋体"/>
          <w:color w:val="auto"/>
          <w:sz w:val="28"/>
          <w:highlight w:val="none"/>
        </w:rPr>
        <w:t>竞争比选响应声明书</w:t>
      </w:r>
      <w:bookmarkEnd w:id="216"/>
      <w:bookmarkEnd w:id="217"/>
      <w:bookmarkEnd w:id="218"/>
      <w:bookmarkEnd w:id="219"/>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bookmarkStart w:id="223" w:name="_Toc27815"/>
      <w:bookmarkStart w:id="224"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before="320" w:beforeLines="100" w:line="480" w:lineRule="auto"/>
        <w:ind w:firstLine="480" w:firstLineChars="200"/>
        <w:textAlignment w:val="auto"/>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225" w:name="_Toc25515"/>
      <w:r>
        <w:rPr>
          <w:rFonts w:hint="eastAsia" w:ascii="宋体" w:hAnsi="宋体" w:eastAsia="宋体" w:cs="宋体"/>
          <w:color w:val="auto"/>
          <w:sz w:val="28"/>
          <w:highlight w:val="none"/>
        </w:rPr>
        <w:t>法定代表人身份证明或法定代表人授权委托书</w:t>
      </w:r>
      <w:bookmarkEnd w:id="223"/>
      <w:bookmarkEnd w:id="225"/>
    </w:p>
    <w:bookmarkEnd w:id="224"/>
    <w:p>
      <w:pPr>
        <w:pStyle w:val="4"/>
        <w:spacing w:line="480" w:lineRule="auto"/>
        <w:jc w:val="center"/>
        <w:outlineLvl w:val="2"/>
        <w:rPr>
          <w:rFonts w:ascii="宋体" w:hAnsi="宋体" w:eastAsia="宋体" w:cs="宋体"/>
          <w:color w:val="auto"/>
          <w:sz w:val="24"/>
          <w:szCs w:val="24"/>
          <w:highlight w:val="none"/>
        </w:rPr>
      </w:pPr>
      <w:bookmarkStart w:id="226" w:name="_Toc20985"/>
      <w:bookmarkStart w:id="227" w:name="_Toc14141"/>
      <w:r>
        <w:rPr>
          <w:rFonts w:hint="eastAsia" w:ascii="宋体" w:hAnsi="宋体" w:eastAsia="宋体" w:cs="宋体"/>
          <w:color w:val="auto"/>
          <w:sz w:val="24"/>
          <w:szCs w:val="24"/>
          <w:highlight w:val="none"/>
        </w:rPr>
        <w:t>（一）法定代表人身份证明</w:t>
      </w:r>
      <w:bookmarkEnd w:id="226"/>
      <w:bookmarkEnd w:id="227"/>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28" w:name="_Toc27897"/>
      <w:bookmarkStart w:id="229" w:name="_Toc369531698"/>
      <w:bookmarkStart w:id="230" w:name="_Toc352691662"/>
      <w:r>
        <w:rPr>
          <w:rFonts w:ascii="宋体" w:hAnsi="宋体"/>
          <w:color w:val="auto"/>
          <w:highlight w:val="none"/>
          <w:u w:val="single"/>
        </w:rPr>
        <w:t xml:space="preserve">        </w:t>
      </w:r>
      <w:r>
        <w:rPr>
          <w:rFonts w:ascii="宋体" w:hAnsi="宋体"/>
          <w:color w:val="auto"/>
          <w:highlight w:val="none"/>
        </w:rPr>
        <w:t>年</w:t>
      </w:r>
      <w:bookmarkEnd w:id="228"/>
      <w:bookmarkEnd w:id="229"/>
      <w:bookmarkEnd w:id="230"/>
      <w:r>
        <w:rPr>
          <w:rFonts w:ascii="宋体" w:hAnsi="宋体"/>
          <w:color w:val="auto"/>
          <w:highlight w:val="none"/>
        </w:rPr>
        <w:t>龄</w:t>
      </w:r>
      <w:bookmarkStart w:id="231" w:name="_Toc361508754"/>
      <w:bookmarkStart w:id="232" w:name="_Toc369531699"/>
      <w:bookmarkStart w:id="233" w:name="_Toc247527829"/>
      <w:bookmarkStart w:id="234" w:name="_Toc15573"/>
      <w:bookmarkStart w:id="235" w:name="_Toc352691663"/>
      <w:bookmarkStart w:id="236" w:name="_Toc152045789"/>
      <w:bookmarkStart w:id="237" w:name="_Toc300835211"/>
      <w:bookmarkStart w:id="238" w:name="_Toc384308377"/>
      <w:bookmarkStart w:id="239" w:name="_Toc144974858"/>
      <w:bookmarkStart w:id="240" w:name="_Toc247514248"/>
      <w:bookmarkStart w:id="241" w:name="_Toc152042578"/>
      <w:r>
        <w:rPr>
          <w:rFonts w:ascii="宋体" w:hAnsi="宋体"/>
          <w:color w:val="auto"/>
          <w:highlight w:val="none"/>
        </w:rPr>
        <w:t>：</w:t>
      </w:r>
      <w:bookmarkEnd w:id="231"/>
      <w:bookmarkEnd w:id="232"/>
      <w:bookmarkEnd w:id="233"/>
      <w:bookmarkEnd w:id="234"/>
      <w:bookmarkEnd w:id="235"/>
      <w:bookmarkEnd w:id="236"/>
      <w:bookmarkEnd w:id="237"/>
      <w:bookmarkEnd w:id="238"/>
      <w:bookmarkEnd w:id="239"/>
      <w:bookmarkEnd w:id="240"/>
      <w:bookmarkEnd w:id="241"/>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42" w:name="_Toc491883233"/>
      <w:bookmarkStart w:id="243" w:name="_Toc58"/>
      <w:bookmarkStart w:id="244" w:name="_Toc3882"/>
      <w:r>
        <w:rPr>
          <w:rFonts w:hint="eastAsia" w:ascii="宋体" w:hAnsi="宋体" w:eastAsia="宋体" w:cs="宋体"/>
          <w:color w:val="auto"/>
          <w:sz w:val="24"/>
          <w:szCs w:val="24"/>
          <w:highlight w:val="none"/>
        </w:rPr>
        <w:t>（二）</w:t>
      </w:r>
      <w:bookmarkEnd w:id="242"/>
      <w:r>
        <w:rPr>
          <w:rFonts w:hint="eastAsia" w:ascii="宋体" w:hAnsi="宋体" w:eastAsia="宋体" w:cs="宋体"/>
          <w:color w:val="auto"/>
          <w:sz w:val="24"/>
          <w:szCs w:val="24"/>
          <w:highlight w:val="none"/>
        </w:rPr>
        <w:t>法定代表人授权委托书</w:t>
      </w:r>
      <w:bookmarkEnd w:id="243"/>
      <w:bookmarkEnd w:id="244"/>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45" w:name="_Toc11329275"/>
      <w:bookmarkStart w:id="246" w:name="_Toc13095"/>
      <w:r>
        <w:rPr>
          <w:rFonts w:hint="eastAsia" w:ascii="宋体" w:hAnsi="宋体" w:eastAsia="宋体" w:cs="宋体"/>
          <w:color w:val="auto"/>
          <w:sz w:val="28"/>
          <w:highlight w:val="none"/>
        </w:rPr>
        <w:t>三、</w:t>
      </w:r>
      <w:bookmarkEnd w:id="220"/>
      <w:bookmarkEnd w:id="221"/>
      <w:bookmarkEnd w:id="222"/>
      <w:bookmarkEnd w:id="245"/>
      <w:r>
        <w:rPr>
          <w:rFonts w:hint="eastAsia" w:ascii="宋体" w:hAnsi="宋体" w:eastAsia="宋体" w:cs="宋体"/>
          <w:color w:val="auto"/>
          <w:sz w:val="28"/>
          <w:highlight w:val="none"/>
        </w:rPr>
        <w:t>报价一览表</w:t>
      </w:r>
      <w:bookmarkEnd w:id="246"/>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47" w:name="_Toc11329278"/>
      <w:bookmarkStart w:id="248" w:name="_Toc513633971"/>
      <w:bookmarkStart w:id="249" w:name="_Toc503951050"/>
      <w:bookmarkStart w:id="250" w:name="_Toc447827058"/>
      <w:bookmarkStart w:id="251" w:name="_Toc247085887"/>
      <w:bookmarkStart w:id="252" w:name="_Toc152042592"/>
      <w:bookmarkStart w:id="253" w:name="_Toc246997112"/>
      <w:bookmarkStart w:id="254" w:name="_Toc246996369"/>
      <w:bookmarkStart w:id="255" w:name="_Toc152045803"/>
      <w:bookmarkStart w:id="256" w:name="_Toc144974871"/>
      <w:bookmarkStart w:id="257" w:name="_Toc179632823"/>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9319" w:type="dxa"/>
        <w:tblInd w:w="0" w:type="dxa"/>
        <w:tblLayout w:type="fixed"/>
        <w:tblCellMar>
          <w:top w:w="0" w:type="dxa"/>
          <w:left w:w="108" w:type="dxa"/>
          <w:bottom w:w="0" w:type="dxa"/>
          <w:right w:w="108" w:type="dxa"/>
        </w:tblCellMar>
      </w:tblPr>
      <w:tblGrid>
        <w:gridCol w:w="637"/>
        <w:gridCol w:w="1273"/>
        <w:gridCol w:w="1757"/>
        <w:gridCol w:w="570"/>
        <w:gridCol w:w="477"/>
        <w:gridCol w:w="960"/>
        <w:gridCol w:w="1025"/>
        <w:gridCol w:w="800"/>
        <w:gridCol w:w="913"/>
        <w:gridCol w:w="907"/>
      </w:tblGrid>
      <w:tr>
        <w:tblPrEx>
          <w:tblCellMar>
            <w:top w:w="0" w:type="dxa"/>
            <w:left w:w="108" w:type="dxa"/>
            <w:bottom w:w="0" w:type="dxa"/>
            <w:right w:w="108" w:type="dxa"/>
          </w:tblCellMar>
        </w:tblPrEx>
        <w:trPr>
          <w:trHeight w:val="585" w:hRule="atLeast"/>
        </w:trPr>
        <w:tc>
          <w:tcPr>
            <w:tcW w:w="637"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273"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设备类型</w:t>
            </w:r>
          </w:p>
        </w:tc>
        <w:tc>
          <w:tcPr>
            <w:tcW w:w="1757"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cs="宋体"/>
                <w:b/>
                <w:bCs/>
                <w:color w:val="auto"/>
                <w:kern w:val="0"/>
                <w:sz w:val="21"/>
                <w:szCs w:val="21"/>
                <w:highlight w:val="none"/>
                <w:lang w:val="en-US" w:eastAsia="zh-CN" w:bidi="ar"/>
              </w:rPr>
              <w:t>维护设备型号</w:t>
            </w:r>
          </w:p>
        </w:tc>
        <w:tc>
          <w:tcPr>
            <w:tcW w:w="1047" w:type="dxa"/>
            <w:gridSpan w:val="2"/>
            <w:tcBorders>
              <w:top w:val="single" w:color="000000" w:sz="8" w:space="0"/>
              <w:left w:val="nil"/>
              <w:bottom w:val="single" w:color="000000" w:sz="8"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960" w:type="dxa"/>
            <w:tcBorders>
              <w:top w:val="single" w:color="000000" w:sz="8" w:space="0"/>
              <w:left w:val="single" w:color="auto" w:sz="4" w:space="0"/>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1025"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default" w:ascii="宋体" w:hAnsi="宋体" w:eastAsia="宋体" w:cs="宋体"/>
                <w:b/>
                <w:bCs/>
                <w:color w:val="auto"/>
                <w:kern w:val="0"/>
                <w:sz w:val="21"/>
                <w:szCs w:val="21"/>
                <w:highlight w:val="none"/>
                <w:lang w:val="en-US" w:eastAsia="zh-CN" w:bidi="ar"/>
              </w:rPr>
            </w:pPr>
            <w:r>
              <w:rPr>
                <w:rFonts w:hint="eastAsia" w:ascii="宋体" w:hAnsi="宋体" w:cs="宋体"/>
                <w:b/>
                <w:bCs/>
                <w:color w:val="auto"/>
                <w:kern w:val="0"/>
                <w:sz w:val="21"/>
                <w:szCs w:val="21"/>
                <w:highlight w:val="none"/>
                <w:lang w:val="en-US" w:eastAsia="zh-CN" w:bidi="ar"/>
              </w:rPr>
              <w:t>单价限价（元）</w:t>
            </w:r>
          </w:p>
        </w:tc>
        <w:tc>
          <w:tcPr>
            <w:tcW w:w="800"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Style w:val="170"/>
                <w:highlight w:val="none"/>
                <w:lang w:val="en-US" w:eastAsia="zh-CN" w:bidi="ar"/>
              </w:rPr>
              <w:t>程控交换机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Style w:val="170"/>
                <w:highlight w:val="none"/>
                <w:lang w:val="en-US" w:eastAsia="zh-CN" w:bidi="ar"/>
              </w:rPr>
              <w:t>CC08</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774.00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通信机房3、4、5柜</w:t>
            </w: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Style w:val="170"/>
                <w:highlight w:val="none"/>
                <w:lang w:val="en-US" w:eastAsia="zh-CN" w:bidi="ar"/>
              </w:rPr>
              <w:t>程控交换机网管</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Style w:val="170"/>
                <w:rFonts w:hint="eastAsia"/>
                <w:highlight w:val="none"/>
                <w:lang w:val="en-US" w:eastAsia="zh-CN" w:bidi="ar"/>
              </w:rPr>
              <w:t>内线电话</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374.00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监控总中心大厅</w:t>
            </w: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Style w:val="170"/>
                <w:highlight w:val="none"/>
                <w:lang w:val="en-US" w:eastAsia="zh-CN" w:bidi="ar"/>
              </w:rPr>
              <w:t>通信传输网管</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Style w:val="170"/>
                <w:highlight w:val="none"/>
                <w:lang w:val="en-US" w:eastAsia="zh-CN" w:bidi="ar"/>
              </w:rPr>
              <w:t>iMaster NCE 网管</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587.00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监控总中心大厅</w:t>
            </w: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通信设备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Style w:val="170"/>
                <w:highlight w:val="none"/>
                <w:lang w:val="en-US" w:eastAsia="zh-CN" w:bidi="ar"/>
              </w:rPr>
              <w:t>OSN7500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1356.00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通信机房8、14柜</w:t>
            </w: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Style w:val="170"/>
                <w:highlight w:val="none"/>
                <w:lang w:val="en-US" w:eastAsia="zh-CN" w:bidi="ar"/>
              </w:rPr>
              <w:t>通信设备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Style w:val="170"/>
                <w:highlight w:val="none"/>
                <w:lang w:val="en-US" w:eastAsia="zh-CN" w:bidi="ar"/>
              </w:rPr>
              <w:t>Metro3000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598.00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通信机房8柜</w:t>
            </w: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BITS时钟同步</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Style w:val="170"/>
                <w:highlight w:val="none"/>
                <w:lang w:val="en-US" w:eastAsia="zh-CN" w:bidi="ar"/>
              </w:rPr>
              <w:t>BITS</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w:t>
            </w:r>
            <w:bookmarkStart w:id="273" w:name="_GoBack"/>
            <w:bookmarkEnd w:id="273"/>
            <w:r>
              <w:rPr>
                <w:rFonts w:hint="eastAsia" w:ascii="宋体" w:hAnsi="宋体" w:eastAsia="宋体" w:cs="宋体"/>
                <w:i w:val="0"/>
                <w:iCs w:val="0"/>
                <w:color w:val="000000"/>
                <w:kern w:val="0"/>
                <w:sz w:val="22"/>
                <w:szCs w:val="22"/>
                <w:highlight w:val="none"/>
                <w:u w:val="none"/>
                <w:lang w:val="en-US" w:eastAsia="zh-CN" w:bidi="ar"/>
              </w:rPr>
              <w:t>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1164.00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通信机房6柜</w:t>
            </w: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Style w:val="170"/>
                <w:highlight w:val="none"/>
                <w:lang w:val="en-US" w:eastAsia="zh-CN" w:bidi="ar"/>
              </w:rPr>
              <w:t>通信设备</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Style w:val="170"/>
                <w:highlight w:val="none"/>
                <w:lang w:val="en-US" w:eastAsia="zh-CN" w:bidi="ar"/>
              </w:rPr>
              <w:t>OSN1800V</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1554.00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通信机房13柜</w:t>
            </w: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Style w:val="170"/>
                <w:rFonts w:hint="default"/>
                <w:highlight w:val="none"/>
                <w:lang w:val="en-US" w:eastAsia="zh-CN" w:bidi="ar"/>
              </w:rPr>
            </w:pPr>
            <w:r>
              <w:rPr>
                <w:rStyle w:val="170"/>
                <w:rFonts w:hint="eastAsia"/>
                <w:highlight w:val="none"/>
                <w:lang w:val="en-US" w:eastAsia="zh-CN" w:bidi="ar"/>
              </w:rPr>
              <w:t>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Style w:val="170"/>
                <w:rFonts w:hint="eastAsia"/>
                <w:highlight w:val="none"/>
                <w:lang w:val="en-US" w:eastAsia="zh-CN" w:bidi="ar"/>
              </w:rPr>
              <w:t>传输网管服务器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Style w:val="170"/>
                <w:rFonts w:hint="eastAsia"/>
                <w:highlight w:val="none"/>
                <w:lang w:val="en-US" w:eastAsia="zh-CN" w:bidi="ar"/>
              </w:rPr>
              <w:t>TaiShan 2280V2</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Style w:val="170"/>
                <w:rFonts w:hint="eastAsia"/>
                <w:highlight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Style w:val="170"/>
                <w:rFonts w:hint="eastAsia"/>
                <w:highlight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Style w:val="170"/>
                <w:highlight w:val="none"/>
                <w:lang w:val="en-US" w:eastAsia="zh-CN" w:bidi="ar"/>
              </w:rPr>
              <w:t>801.00</w:t>
            </w:r>
          </w:p>
        </w:tc>
        <w:tc>
          <w:tcPr>
            <w:tcW w:w="8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rFonts w:hint="eastAsia"/>
                <w:highlight w:val="none"/>
                <w:lang w:val="en-US" w:eastAsia="zh-CN" w:bidi="ar"/>
              </w:rPr>
            </w:pPr>
          </w:p>
        </w:tc>
        <w:tc>
          <w:tcPr>
            <w:tcW w:w="91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rFonts w:hint="eastAsia"/>
                <w:highlight w:val="none"/>
                <w:lang w:val="en-US" w:eastAsia="zh-CN" w:bidi="ar"/>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Style w:val="170"/>
                <w:highlight w:val="none"/>
                <w:lang w:val="en-US" w:eastAsia="zh-CN" w:bidi="ar"/>
              </w:rPr>
              <w:t>网络机房16柜</w:t>
            </w:r>
          </w:p>
        </w:tc>
      </w:tr>
      <w:tr>
        <w:tblPrEx>
          <w:tblCellMar>
            <w:top w:w="0" w:type="dxa"/>
            <w:left w:w="108" w:type="dxa"/>
            <w:bottom w:w="0" w:type="dxa"/>
            <w:right w:w="108" w:type="dxa"/>
          </w:tblCellMar>
        </w:tblPrEx>
        <w:trPr>
          <w:trHeight w:val="510" w:hRule="atLeast"/>
        </w:trPr>
        <w:tc>
          <w:tcPr>
            <w:tcW w:w="4237" w:type="dxa"/>
            <w:gridSpan w:val="4"/>
            <w:tcBorders>
              <w:top w:val="nil"/>
              <w:left w:val="single" w:color="000000" w:sz="8" w:space="0"/>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nil"/>
              <w:left w:val="nil"/>
              <w:bottom w:val="single" w:color="000000" w:sz="8" w:space="0"/>
              <w:right w:val="single" w:color="000000" w:sz="8" w:space="0"/>
            </w:tcBorders>
            <w:vAlign w:val="center"/>
          </w:tcPr>
          <w:p>
            <w:pPr>
              <w:jc w:val="center"/>
              <w:rPr>
                <w:rFonts w:hint="default" w:ascii="宋体" w:hAnsi="宋体" w:eastAsia="宋体" w:cs="宋体"/>
                <w:color w:val="auto"/>
                <w:sz w:val="21"/>
                <w:szCs w:val="21"/>
                <w:highlight w:val="none"/>
                <w:lang w:val="en-US" w:eastAsia="zh-CN"/>
              </w:rPr>
            </w:pPr>
          </w:p>
        </w:tc>
      </w:tr>
      <w:tr>
        <w:tblPrEx>
          <w:tblCellMar>
            <w:top w:w="0" w:type="dxa"/>
            <w:left w:w="108" w:type="dxa"/>
            <w:bottom w:w="0" w:type="dxa"/>
            <w:right w:w="108" w:type="dxa"/>
          </w:tblCellMar>
        </w:tblPrEx>
        <w:trPr>
          <w:trHeight w:val="450" w:hRule="atLeast"/>
        </w:trPr>
        <w:tc>
          <w:tcPr>
            <w:tcW w:w="4237" w:type="dxa"/>
            <w:gridSpan w:val="4"/>
            <w:tcBorders>
              <w:top w:val="nil"/>
              <w:left w:val="single" w:color="000000" w:sz="8" w:space="0"/>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58" w:name="_Toc12910"/>
      <w:bookmarkStart w:id="259" w:name="_Toc18757"/>
      <w:bookmarkStart w:id="260" w:name="_Toc11961"/>
      <w:bookmarkStart w:id="261" w:name="_Toc19454"/>
      <w:r>
        <w:rPr>
          <w:rFonts w:hint="eastAsia" w:ascii="宋体" w:hAnsi="宋体" w:eastAsia="宋体" w:cs="宋体"/>
          <w:color w:val="auto"/>
          <w:sz w:val="28"/>
          <w:highlight w:val="none"/>
        </w:rPr>
        <w:t>四、资格审查资料</w:t>
      </w:r>
      <w:bookmarkEnd w:id="247"/>
      <w:bookmarkEnd w:id="248"/>
      <w:bookmarkEnd w:id="249"/>
      <w:bookmarkEnd w:id="258"/>
      <w:bookmarkEnd w:id="259"/>
      <w:bookmarkEnd w:id="260"/>
      <w:bookmarkEnd w:id="261"/>
    </w:p>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bookmarkEnd w:id="250"/>
    <w:bookmarkEnd w:id="251"/>
    <w:bookmarkEnd w:id="252"/>
    <w:bookmarkEnd w:id="253"/>
    <w:bookmarkEnd w:id="254"/>
    <w:bookmarkEnd w:id="255"/>
    <w:bookmarkEnd w:id="256"/>
    <w:bookmarkEnd w:id="257"/>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262" w:name="_Toc503951058"/>
            <w:bookmarkStart w:id="263" w:name="_Toc513633974"/>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64" w:name="资质要求2"/>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（2）报价人需提供制造商（华为）针对本项目的授权证书。</w:t>
            </w:r>
            <w:bookmarkEnd w:id="26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65" w:name="业绩要求2"/>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2022年1月1日至报价截止日期（以合同签订时间为准）至少完成一项合同金额不低于5万元的通信传输设备维护或销售业绩。</w:t>
            </w:r>
            <w:bookmarkEnd w:id="2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6" w:name="主要管理人员要求1"/>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2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7" w:name="其他人员要求1"/>
            <w:r>
              <w:rPr>
                <w:rFonts w:hint="eastAsia" w:ascii="宋体" w:hAnsi="宋体" w:cs="宋体"/>
                <w:b w:val="0"/>
                <w:bCs w:val="0"/>
                <w:color w:val="auto"/>
                <w:szCs w:val="21"/>
                <w:highlight w:val="none"/>
                <w:lang w:val="en-US" w:eastAsia="zh-CN"/>
              </w:rPr>
              <w:t>维护人员2人，为报价人公司正式员工且该单位有1年及以上工作经验。</w:t>
            </w:r>
            <w:bookmarkEnd w:id="2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68" w:name="_Toc21066"/>
      <w:r>
        <w:rPr>
          <w:rFonts w:hint="eastAsia" w:ascii="宋体" w:hAnsi="宋体" w:eastAsia="宋体" w:cs="宋体"/>
          <w:color w:val="auto"/>
          <w:sz w:val="28"/>
          <w:highlight w:val="none"/>
        </w:rPr>
        <w:t>五、报价人承诺</w:t>
      </w:r>
      <w:bookmarkEnd w:id="268"/>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b w:val="0"/>
          <w:bCs w:val="0"/>
          <w:color w:val="auto"/>
          <w:sz w:val="24"/>
          <w:highlight w:val="none"/>
        </w:rPr>
      </w:pPr>
      <w:r>
        <w:rPr>
          <w:rFonts w:hint="eastAsia" w:ascii="宋体" w:hAnsi="宋体"/>
          <w:b w:val="0"/>
          <w:bCs w:val="0"/>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69" w:name="_Toc22750"/>
      <w:r>
        <w:rPr>
          <w:rFonts w:hint="eastAsia" w:ascii="宋体" w:hAnsi="宋体" w:eastAsia="宋体" w:cs="宋体"/>
          <w:b/>
          <w:bCs/>
          <w:color w:val="auto"/>
          <w:kern w:val="0"/>
          <w:sz w:val="28"/>
          <w:szCs w:val="32"/>
          <w:highlight w:val="none"/>
          <w:lang w:val="en-US" w:eastAsia="zh-CN" w:bidi="ar-SA"/>
        </w:rPr>
        <w:t>六、报价人其他资料</w:t>
      </w:r>
      <w:bookmarkEnd w:id="269"/>
    </w:p>
    <w:p>
      <w:pPr>
        <w:pStyle w:val="2"/>
        <w:rPr>
          <w:rFonts w:ascii="宋体" w:hAnsi="宋体"/>
          <w:color w:val="auto"/>
          <w:sz w:val="24"/>
          <w:highlight w:val="none"/>
        </w:rPr>
      </w:pPr>
    </w:p>
    <w:p>
      <w:pPr>
        <w:rPr>
          <w:rFonts w:ascii="宋体" w:hAnsi="宋体"/>
          <w:color w:val="auto"/>
          <w:sz w:val="24"/>
          <w:highlight w:val="none"/>
        </w:rPr>
      </w:pPr>
    </w:p>
    <w:p>
      <w:pPr>
        <w:pStyle w:val="5"/>
        <w:spacing w:before="0" w:after="0" w:line="360" w:lineRule="auto"/>
        <w:jc w:val="center"/>
        <w:rPr>
          <w:color w:val="auto"/>
          <w:sz w:val="28"/>
          <w:szCs w:val="28"/>
          <w:highlight w:val="none"/>
        </w:rPr>
      </w:pPr>
      <w:bookmarkStart w:id="270" w:name="_Toc508110857"/>
      <w:bookmarkStart w:id="271" w:name="_Toc4375"/>
      <w:bookmarkStart w:id="272" w:name="_Toc452107137"/>
      <w:r>
        <w:rPr>
          <w:rFonts w:hint="eastAsia"/>
          <w:color w:val="auto"/>
          <w:sz w:val="28"/>
          <w:szCs w:val="28"/>
          <w:highlight w:val="none"/>
        </w:rPr>
        <w:t>（一）报价人基本信息表</w:t>
      </w:r>
      <w:bookmarkEnd w:id="270"/>
      <w:bookmarkEnd w:id="271"/>
      <w:bookmarkEnd w:id="272"/>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snapToGrid w:val="0"/>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lang w:val="en-US" w:eastAsia="zh-CN"/>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jc w:val="right"/>
        <w:rPr>
          <w:rFonts w:hint="eastAsia" w:ascii="宋体" w:hAnsi="宋体"/>
          <w:color w:val="auto"/>
          <w:kern w:val="0"/>
          <w:szCs w:val="21"/>
          <w:highlight w:val="none"/>
          <w:u w:val="singl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pStyle w:val="2"/>
        <w:rPr>
          <w:rFonts w:ascii="宋体" w:hAnsi="宋体"/>
          <w:color w:val="auto"/>
          <w:sz w:val="24"/>
          <w:highlight w:val="none"/>
        </w:rPr>
      </w:pPr>
    </w:p>
    <w:p>
      <w:pPr>
        <w:pStyle w:val="2"/>
        <w:rPr>
          <w:color w:val="auto"/>
          <w:highlight w:val="none"/>
        </w:rPr>
      </w:pPr>
    </w:p>
    <w:p>
      <w:pPr>
        <w:rPr>
          <w:rFonts w:ascii="宋体" w:hAnsi="宋体" w:cs="宋体"/>
          <w:color w:val="auto"/>
          <w:sz w:val="28"/>
          <w:highlight w:val="none"/>
        </w:rPr>
      </w:pPr>
    </w:p>
    <w:bookmarkEnd w:id="262"/>
    <w:bookmarkEnd w:id="263"/>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EA35A07-A191-4C40-B30E-8333FD87F61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2E5E2679-121F-4A07-BEDA-66402ADF0F31}"/>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A3E17057-12B8-46C5-A898-9C2A295AAB6C}"/>
  </w:font>
  <w:font w:name="方正小标宋_GBK">
    <w:panose1 w:val="03000509000000000000"/>
    <w:charset w:val="86"/>
    <w:family w:val="script"/>
    <w:pitch w:val="default"/>
    <w:sig w:usb0="00000001" w:usb1="080E0000" w:usb2="00000000" w:usb3="00000000" w:csb0="00040000" w:csb1="00000000"/>
    <w:embedRegular r:id="rId4" w:fontKey="{006F2763-0437-4E27-AB61-6F54F2A524BC}"/>
  </w:font>
  <w:font w:name="仿宋">
    <w:panose1 w:val="02010609060101010101"/>
    <w:charset w:val="86"/>
    <w:family w:val="modern"/>
    <w:pitch w:val="default"/>
    <w:sig w:usb0="800002BF" w:usb1="38CF7CFA" w:usb2="00000016" w:usb3="00000000" w:csb0="00040001" w:csb1="00000000"/>
    <w:embedRegular r:id="rId5" w:fontKey="{7BF117B2-BFA2-4567-AB7F-1541BF83D8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d71f2fdd-327e-4067-ad7c-294d70ec9b4a&amp;fileid=261251&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B33990"/>
    <w:rsid w:val="1CF6260F"/>
    <w:rsid w:val="1CF83AEA"/>
    <w:rsid w:val="1CF911FC"/>
    <w:rsid w:val="1D6914D5"/>
    <w:rsid w:val="1D7C7A22"/>
    <w:rsid w:val="1D7E09CF"/>
    <w:rsid w:val="1D9F1A69"/>
    <w:rsid w:val="1DC81497"/>
    <w:rsid w:val="1DE41480"/>
    <w:rsid w:val="1E1F06E1"/>
    <w:rsid w:val="1E2139B7"/>
    <w:rsid w:val="1E2D32E9"/>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A72ABE"/>
    <w:rsid w:val="3EAD4174"/>
    <w:rsid w:val="3EAD7F9C"/>
    <w:rsid w:val="3EB32892"/>
    <w:rsid w:val="3EBC3336"/>
    <w:rsid w:val="3EDE79C6"/>
    <w:rsid w:val="3EF65530"/>
    <w:rsid w:val="3EF9D3F1"/>
    <w:rsid w:val="3F064AE9"/>
    <w:rsid w:val="3F3B0C43"/>
    <w:rsid w:val="3F431BA8"/>
    <w:rsid w:val="3F4C62B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B92D8E"/>
    <w:rsid w:val="4BC84E0E"/>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402F82"/>
    <w:rsid w:val="58750691"/>
    <w:rsid w:val="58AB575D"/>
    <w:rsid w:val="58BC728D"/>
    <w:rsid w:val="58DD0763"/>
    <w:rsid w:val="59445F91"/>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F66C79"/>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B0F52"/>
    <w:rsid w:val="6CB220EC"/>
    <w:rsid w:val="6CCF1CAF"/>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004A5B"/>
    <w:rsid w:val="744975DD"/>
    <w:rsid w:val="746920A5"/>
    <w:rsid w:val="74CB1EDB"/>
    <w:rsid w:val="74DE73F5"/>
    <w:rsid w:val="751E77AF"/>
    <w:rsid w:val="75D07F8B"/>
    <w:rsid w:val="75EE5669"/>
    <w:rsid w:val="76957051"/>
    <w:rsid w:val="76BD4232"/>
    <w:rsid w:val="76C10199"/>
    <w:rsid w:val="76C57BCB"/>
    <w:rsid w:val="76F927CD"/>
    <w:rsid w:val="773B2934"/>
    <w:rsid w:val="773E064E"/>
    <w:rsid w:val="774E1211"/>
    <w:rsid w:val="77585379"/>
    <w:rsid w:val="777B71D8"/>
    <w:rsid w:val="77A54D53"/>
    <w:rsid w:val="77D75F2B"/>
    <w:rsid w:val="77FC6767"/>
    <w:rsid w:val="781A0BEC"/>
    <w:rsid w:val="78202415"/>
    <w:rsid w:val="78213FC9"/>
    <w:rsid w:val="78701D9C"/>
    <w:rsid w:val="789B4D29"/>
    <w:rsid w:val="78FA0671"/>
    <w:rsid w:val="793A634F"/>
    <w:rsid w:val="798635EB"/>
    <w:rsid w:val="79A5750A"/>
    <w:rsid w:val="79B46D80"/>
    <w:rsid w:val="79F301DD"/>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E1A0A9F"/>
    <w:rsid w:val="7E3C401A"/>
    <w:rsid w:val="7E641213"/>
    <w:rsid w:val="7EE33139"/>
    <w:rsid w:val="7EF34773"/>
    <w:rsid w:val="7F0D08DC"/>
    <w:rsid w:val="7F173D26"/>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spacing w:beforeLines="0" w:afterLines="0"/>
      <w:ind w:firstLine="420" w:firstLineChars="200"/>
    </w:pPr>
    <w:rPr>
      <w:rFonts w:hint="default"/>
      <w:sz w:val="21"/>
      <w:szCs w:val="22"/>
    </w:rPr>
  </w:style>
  <w:style w:type="character" w:customStyle="1" w:styleId="170">
    <w:name w:val="font21"/>
    <w:basedOn w:val="4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37</Pages>
  <Words>10463</Words>
  <Characters>10848</Characters>
  <Lines>1</Lines>
  <Paragraphs>1</Paragraphs>
  <TotalTime>0</TotalTime>
  <ScaleCrop>false</ScaleCrop>
  <LinksUpToDate>false</LinksUpToDate>
  <CharactersWithSpaces>11576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Kevin</cp:lastModifiedBy>
  <cp:lastPrinted>2022-06-07T02:51:00Z</cp:lastPrinted>
  <dcterms:modified xsi:type="dcterms:W3CDTF">2025-11-21T08:50:35Z</dcterms:modified>
  <dc:title>项目名称：2019年重庆市取消高速公路省界收费站项目</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981F5C365DFC43C196E9DFF5EA0A1D2C_13</vt:lpwstr>
  </property>
  <property fmtid="{D5CDD505-2E9C-101B-9397-08002B2CF9AE}" pid="4" name="KSOTemplateDocerSaveRecord">
    <vt:lpwstr>eyJoZGlkIjoiM2Y3Mjk5YTM5NDEwM2NlM2I4NGUzNmZjYjI5NmQyNzgiLCJ1c2VySWQiOiI5ODk3ODM1NDAifQ==</vt:lpwstr>
  </property>
</Properties>
</file>